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off"/>
        <w:outlineLvl w:val="1"/>
      </w:pPr>
      <w:r/>
      <w:r/>
    </w:p>
    <w:p>
      <w:pPr>
        <w:jc w:val="center"/>
        <w:widowControl w:val="off"/>
        <w:rPr>
          <w:b/>
          <w:bCs/>
          <w:sz w:val="30"/>
          <w:szCs w:val="30"/>
        </w:rPr>
        <w:outlineLvl w:val="0"/>
      </w:pPr>
      <w:r>
        <w:rPr>
          <w:b/>
          <w:bCs/>
          <w:sz w:val="30"/>
          <w:szCs w:val="30"/>
        </w:rPr>
        <w:t xml:space="preserve">ДЕПАРТАМЕНТ ГОСУДАРСТВЕННОГО ЗАКАЗА</w:t>
      </w:r>
      <w:r>
        <w:rPr>
          <w:b/>
          <w:bCs/>
          <w:sz w:val="30"/>
          <w:szCs w:val="30"/>
        </w:rPr>
        <w:t xml:space="preserve"> </w:t>
      </w:r>
      <w:r/>
    </w:p>
    <w:p>
      <w:pPr>
        <w:jc w:val="center"/>
        <w:widowControl w:val="off"/>
        <w:rPr>
          <w:b/>
          <w:bCs/>
          <w:sz w:val="30"/>
          <w:szCs w:val="30"/>
        </w:rPr>
        <w:outlineLvl w:val="0"/>
      </w:pPr>
      <w:r>
        <w:rPr>
          <w:b/>
          <w:bCs/>
          <w:sz w:val="30"/>
          <w:szCs w:val="30"/>
        </w:rPr>
        <w:t xml:space="preserve">ТОМСКОЙ ОБЛАСТИ</w:t>
      </w:r>
      <w:r/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/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/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ПРИКАЗ</w:t>
      </w:r>
      <w:r/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/>
    </w:p>
    <w:p>
      <w:pPr>
        <w:widowControl w:val="off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__</w:t>
      </w:r>
      <w:r>
        <w:rPr>
          <w:bCs/>
          <w:sz w:val="26"/>
          <w:szCs w:val="26"/>
        </w:rPr>
        <w:t xml:space="preserve">.</w:t>
      </w:r>
      <w:r>
        <w:rPr>
          <w:bCs/>
          <w:sz w:val="26"/>
          <w:szCs w:val="26"/>
        </w:rPr>
        <w:t xml:space="preserve">__</w:t>
      </w:r>
      <w:r>
        <w:rPr>
          <w:bCs/>
          <w:sz w:val="26"/>
          <w:szCs w:val="26"/>
        </w:rPr>
        <w:t xml:space="preserve">.</w:t>
      </w:r>
      <w:r>
        <w:rPr>
          <w:bCs/>
          <w:sz w:val="26"/>
          <w:szCs w:val="26"/>
        </w:rPr>
        <w:t xml:space="preserve">2020</w:t>
      </w:r>
      <w:r>
        <w:rPr>
          <w:bCs/>
          <w:sz w:val="26"/>
          <w:szCs w:val="26"/>
        </w:rPr>
        <w:t xml:space="preserve">                                                                                                                           </w:t>
      </w:r>
      <w:r>
        <w:rPr>
          <w:bCs/>
          <w:sz w:val="26"/>
          <w:szCs w:val="26"/>
        </w:rPr>
        <w:t xml:space="preserve">  </w:t>
      </w:r>
      <w:r>
        <w:rPr>
          <w:bCs/>
          <w:sz w:val="26"/>
          <w:szCs w:val="26"/>
        </w:rPr>
        <w:t xml:space="preserve"> № </w:t>
      </w:r>
      <w:r>
        <w:rPr>
          <w:bCs/>
          <w:sz w:val="26"/>
          <w:szCs w:val="26"/>
        </w:rPr>
        <w:t xml:space="preserve">__</w:t>
      </w:r>
      <w:r>
        <w:rPr>
          <w:bCs/>
          <w:sz w:val="26"/>
          <w:szCs w:val="26"/>
        </w:rPr>
        <w:t xml:space="preserve">-</w:t>
      </w:r>
      <w:r>
        <w:rPr>
          <w:bCs/>
          <w:sz w:val="26"/>
          <w:szCs w:val="26"/>
        </w:rPr>
        <w:t xml:space="preserve">п</w:t>
      </w:r>
      <w:r/>
    </w:p>
    <w:p>
      <w:pPr>
        <w:jc w:val="center"/>
        <w:widowControl w:val="off"/>
        <w:rPr>
          <w:bCs/>
          <w:sz w:val="26"/>
          <w:szCs w:val="26"/>
        </w:rPr>
      </w:pPr>
      <w:r>
        <w:rPr>
          <w:bCs/>
          <w:sz w:val="26"/>
          <w:szCs w:val="26"/>
        </w:rPr>
      </w:r>
      <w:r/>
    </w:p>
    <w:p>
      <w:pPr>
        <w:jc w:val="center"/>
        <w:widowControl w:val="off"/>
        <w:rPr>
          <w:bCs/>
          <w:sz w:val="26"/>
          <w:szCs w:val="26"/>
        </w:rPr>
      </w:pPr>
      <w:r>
        <w:rPr>
          <w:bCs/>
          <w:sz w:val="26"/>
          <w:szCs w:val="26"/>
        </w:rPr>
      </w:r>
      <w:r/>
    </w:p>
    <w:p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 внесении изменени</w:t>
      </w:r>
      <w:r>
        <w:rPr>
          <w:bCs/>
          <w:sz w:val="26"/>
          <w:szCs w:val="26"/>
        </w:rPr>
        <w:t xml:space="preserve">й</w:t>
      </w:r>
      <w:r>
        <w:rPr>
          <w:bCs/>
          <w:sz w:val="26"/>
          <w:szCs w:val="26"/>
        </w:rPr>
        <w:t xml:space="preserve"> в приказ </w:t>
      </w:r>
      <w:r>
        <w:rPr>
          <w:sz w:val="26"/>
        </w:rPr>
      </w:r>
      <w:r/>
    </w:p>
    <w:p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от </w:t>
      </w:r>
      <w:r>
        <w:rPr>
          <w:bCs/>
          <w:sz w:val="26"/>
          <w:szCs w:val="26"/>
        </w:rPr>
        <w:t xml:space="preserve">05.07.20</w:t>
      </w:r>
      <w:r>
        <w:rPr>
          <w:bCs/>
          <w:sz w:val="26"/>
          <w:szCs w:val="26"/>
        </w:rPr>
        <w:t xml:space="preserve">19 </w:t>
      </w:r>
      <w:r>
        <w:rPr>
          <w:bCs/>
          <w:sz w:val="26"/>
          <w:szCs w:val="26"/>
        </w:rPr>
        <w:t xml:space="preserve">№ </w:t>
      </w:r>
      <w:r>
        <w:rPr>
          <w:bCs/>
          <w:sz w:val="26"/>
          <w:szCs w:val="26"/>
        </w:rPr>
        <w:t xml:space="preserve">11</w:t>
      </w:r>
      <w:r>
        <w:rPr>
          <w:bCs/>
          <w:sz w:val="26"/>
          <w:szCs w:val="26"/>
        </w:rPr>
        <w:t xml:space="preserve">-п</w:t>
      </w:r>
      <w:r>
        <w:rPr>
          <w:sz w:val="26"/>
        </w:rPr>
      </w:r>
      <w:r/>
    </w:p>
    <w:p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</w:r>
      <w:r>
        <w:rPr>
          <w:sz w:val="26"/>
        </w:rPr>
      </w:r>
      <w:r/>
    </w:p>
    <w:p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r>
        <w:rPr>
          <w:bCs/>
          <w:sz w:val="26"/>
          <w:szCs w:val="26"/>
        </w:rPr>
        <w:t xml:space="preserve">целях</w:t>
      </w:r>
      <w:r>
        <w:rPr>
          <w:bCs/>
          <w:sz w:val="26"/>
          <w:szCs w:val="26"/>
        </w:rPr>
        <w:t xml:space="preserve"> совершенствования нормативного правового акта</w:t>
      </w:r>
      <w:r>
        <w:rPr>
          <w:sz w:val="26"/>
        </w:rPr>
      </w:r>
      <w:r/>
    </w:p>
    <w:p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ПРИКАЗЫВАЮ:</w:t>
      </w:r>
      <w:r>
        <w:rPr>
          <w:sz w:val="26"/>
        </w:rPr>
      </w:r>
      <w:r/>
    </w:p>
    <w:p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Внести в приказ Департамента государственного заказа Томской области от 05.07.2019 № 1</w:t>
      </w:r>
      <w:r>
        <w:rPr>
          <w:bCs/>
          <w:sz w:val="26"/>
          <w:szCs w:val="26"/>
        </w:rPr>
        <w:t xml:space="preserve">1-п </w:t>
      </w:r>
      <w:r>
        <w:rPr>
          <w:bCs/>
          <w:sz w:val="26"/>
          <w:szCs w:val="26"/>
        </w:rPr>
        <w:t xml:space="preserve">«Об утверждении типового контракта на выполнение работ по текущему ремонту, типового контракта на выполнение работ по капитальному ремонту,  </w:t>
      </w:r>
      <w:r>
        <w:rPr>
          <w:bCs/>
          <w:sz w:val="26"/>
          <w:szCs w:val="26"/>
        </w:rPr>
        <w:t xml:space="preserve">типового контракта на выполнение работ по строительству объек</w:t>
      </w:r>
      <w:r>
        <w:rPr>
          <w:bCs/>
          <w:sz w:val="26"/>
          <w:szCs w:val="26"/>
        </w:rPr>
        <w:t xml:space="preserve">та»</w:t>
      </w: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</w:t>
      </w:r>
      <w:r>
        <w:rPr>
          <w:bCs/>
          <w:sz w:val="26"/>
          <w:szCs w:val="26"/>
        </w:rPr>
        <w:t xml:space="preserve">Официальный интернет-портал прав</w:t>
      </w:r>
      <w:r>
        <w:rPr>
          <w:bCs/>
          <w:sz w:val="26"/>
          <w:szCs w:val="26"/>
        </w:rPr>
        <w:t xml:space="preserve">овой информации </w:t>
      </w:r>
      <w:r>
        <w:rPr>
          <w:bCs/>
          <w:sz w:val="26"/>
          <w:szCs w:val="26"/>
        </w:rPr>
        <w:t xml:space="preserve">(</w:t>
      </w:r>
      <w:r>
        <w:rPr>
          <w:bCs/>
          <w:sz w:val="26"/>
          <w:szCs w:val="26"/>
        </w:rPr>
        <w:t xml:space="preserve">www.pravo.gov.ru</w:t>
      </w:r>
      <w:r>
        <w:rPr>
          <w:bCs/>
          <w:sz w:val="26"/>
          <w:szCs w:val="26"/>
        </w:rPr>
        <w:t xml:space="preserve">)</w:t>
      </w:r>
      <w:r>
        <w:rPr>
          <w:bCs/>
          <w:sz w:val="26"/>
          <w:szCs w:val="26"/>
        </w:rPr>
        <w:t xml:space="preserve">,</w:t>
      </w:r>
      <w:r>
        <w:rPr>
          <w:bCs/>
          <w:sz w:val="26"/>
          <w:szCs w:val="26"/>
        </w:rPr>
        <w:t xml:space="preserve"> 09.07.2019 </w:t>
        <w:br/>
        <w:t xml:space="preserve">№ 7001201907090003</w:t>
      </w:r>
      <w:r>
        <w:rPr>
          <w:bCs/>
          <w:sz w:val="26"/>
          <w:szCs w:val="26"/>
        </w:rPr>
        <w:t xml:space="preserve">) следующие изменения:</w:t>
      </w:r>
      <w:r>
        <w:rPr>
          <w:sz w:val="26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1) </w:t>
      </w:r>
      <w:r>
        <w:rPr>
          <w:bCs/>
          <w:sz w:val="26"/>
          <w:szCs w:val="26"/>
        </w:rPr>
        <w:t xml:space="preserve">в ти</w:t>
      </w:r>
      <w:r>
        <w:rPr>
          <w:bCs/>
          <w:sz w:val="26"/>
          <w:szCs w:val="26"/>
        </w:rPr>
        <w:t xml:space="preserve">повом</w:t>
      </w: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контракт</w:t>
      </w:r>
      <w:r>
        <w:rPr>
          <w:bCs/>
          <w:sz w:val="26"/>
          <w:szCs w:val="26"/>
        </w:rPr>
        <w:t xml:space="preserve">е на </w:t>
      </w:r>
      <w:r>
        <w:rPr>
          <w:bCs/>
          <w:sz w:val="26"/>
          <w:szCs w:val="26"/>
        </w:rPr>
        <w:t xml:space="preserve">выполнен</w:t>
      </w:r>
      <w:r>
        <w:rPr>
          <w:bCs/>
          <w:sz w:val="26"/>
          <w:szCs w:val="26"/>
        </w:rPr>
        <w:t xml:space="preserve">ие работ по текущему ремонту, утвержденном указанным приказом (приложение 1):</w:t>
      </w:r>
      <w:r>
        <w:rPr>
          <w:sz w:val="26"/>
        </w:rPr>
      </w:r>
      <w:r/>
    </w:p>
    <w:p>
      <w:pPr>
        <w:ind w:left="709" w:right="0" w:firstLine="0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пункт 8.3.1 изложить в следующей редакции:</w:t>
      </w:r>
      <w:r>
        <w:rPr>
          <w:bCs/>
          <w:sz w:val="26"/>
          <w:szCs w:val="26"/>
        </w:rPr>
      </w:r>
      <w:r/>
    </w:p>
    <w:p>
      <w:pPr>
        <w:ind w:firstLine="709"/>
        <w:jc w:val="both"/>
        <w:rPr>
          <w:bCs/>
          <w:color w:val="000000" w:themeColor="text1"/>
          <w:sz w:val="26"/>
          <w:szCs w:val="26"/>
        </w:rPr>
      </w:pPr>
      <w:r>
        <w:rPr>
          <w:bCs/>
          <w:sz w:val="26"/>
          <w:szCs w:val="26"/>
        </w:rPr>
        <w:t xml:space="preserve">«8.3.1. </w:t>
      </w:r>
      <w:r>
        <w:rPr>
          <w:bCs/>
          <w:sz w:val="26"/>
          <w:szCs w:val="26"/>
        </w:rPr>
        <w:t xml:space="preserve">Пеня начисляется за каждый день просрочки исполнения Подрядчиком обязательства, предусмотренного Контрактом, начиная со дня, </w:t>
      </w:r>
      <w:r>
        <w:rPr>
          <w:bCs/>
          <w:sz w:val="26"/>
          <w:szCs w:val="26"/>
        </w:rPr>
        <w:t xml:space="preserve">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>
        <w:rPr>
          <w:bCs/>
          <w:sz w:val="26"/>
          <w:szCs w:val="26"/>
        </w:rPr>
        <w:t xml:space="preserve"> </w:t>
      </w:r>
      <w:r>
        <w:rPr>
          <w:bCs/>
          <w:color w:val="000000" w:themeColor="text1"/>
          <w:sz w:val="26"/>
          <w:szCs w:val="26"/>
        </w:rPr>
        <w:t xml:space="preserve">(отдельного этапа исполнения </w:t>
      </w:r>
      <w:r>
        <w:rPr>
          <w:bCs/>
          <w:color w:val="000000" w:themeColor="text1"/>
          <w:sz w:val="26"/>
          <w:szCs w:val="26"/>
        </w:rPr>
        <w:t xml:space="preserve">К</w:t>
      </w:r>
      <w:r>
        <w:rPr>
          <w:bCs/>
          <w:color w:val="000000" w:themeColor="text1"/>
          <w:sz w:val="26"/>
          <w:szCs w:val="26"/>
        </w:rPr>
        <w:t xml:space="preserve">онтракта)</w:t>
      </w:r>
      <w:r>
        <w:rPr>
          <w:color w:val="000000" w:themeColor="text1"/>
          <w:sz w:val="26"/>
        </w:rPr>
        <w:t xml:space="preserve">*</w:t>
      </w:r>
      <w:r>
        <w:rPr>
          <w:bCs/>
          <w:color w:val="000000" w:themeColor="text1"/>
          <w:sz w:val="26"/>
          <w:szCs w:val="26"/>
        </w:rPr>
        <w:t xml:space="preserve">, уменьшенной на сумму, пропорциональную объему обязательств, предусмотренных Контрактом</w:t>
      </w:r>
      <w:r>
        <w:rPr>
          <w:bCs/>
          <w:color w:val="000000" w:themeColor="text1"/>
          <w:sz w:val="26"/>
          <w:szCs w:val="26"/>
        </w:rPr>
        <w:t xml:space="preserve"> </w:t>
      </w:r>
      <w:r>
        <w:rPr>
          <w:bCs/>
          <w:color w:val="000000" w:themeColor="text1"/>
          <w:sz w:val="26"/>
          <w:szCs w:val="26"/>
        </w:rPr>
        <w:t xml:space="preserve">(соответствующим отдельным этапом исполнения Контракта)</w:t>
      </w:r>
      <w:r>
        <w:rPr>
          <w:color w:val="000000" w:themeColor="text1"/>
          <w:sz w:val="26"/>
        </w:rPr>
        <w:t xml:space="preserve">*</w:t>
      </w:r>
      <w:r>
        <w:rPr>
          <w:bCs/>
          <w:color w:val="000000" w:themeColor="text1"/>
          <w:sz w:val="26"/>
          <w:szCs w:val="26"/>
        </w:rPr>
        <w:t xml:space="preserve">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  <w:r>
        <w:rPr>
          <w:bCs/>
          <w:color w:val="000000" w:themeColor="text1"/>
          <w:sz w:val="26"/>
          <w:szCs w:val="26"/>
          <w:vertAlign w:val="superscript"/>
        </w:rPr>
        <w:t xml:space="preserve">52</w:t>
      </w:r>
      <w:r>
        <w:rPr>
          <w:bCs/>
          <w:color w:val="000000" w:themeColor="text1"/>
          <w:sz w:val="26"/>
          <w:szCs w:val="26"/>
        </w:rPr>
        <w:t xml:space="preserve">»;</w:t>
      </w:r>
      <w:r>
        <w:rPr>
          <w:color w:val="000000" w:themeColor="text1"/>
          <w:sz w:val="26"/>
        </w:rPr>
      </w:r>
      <w:r>
        <w:rPr>
          <w:color w:val="000000" w:themeColor="text1"/>
        </w:rPr>
      </w:r>
    </w:p>
    <w:p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 xml:space="preserve">примечание 62 изложить в следующей редакции:</w:t>
      </w:r>
      <w:r>
        <w:rPr>
          <w:bCs/>
          <w:color w:val="000000" w:themeColor="text1"/>
          <w:sz w:val="26"/>
          <w:szCs w:val="26"/>
        </w:rPr>
      </w:r>
      <w:r>
        <w:rPr>
          <w:color w:val="000000" w:themeColor="text1"/>
        </w:rPr>
      </w:r>
    </w:p>
    <w:p>
      <w:pPr>
        <w:contextualSpacing w:val="false"/>
        <w:ind w:firstLine="709"/>
        <w:jc w:val="both"/>
        <w:rPr>
          <w:sz w:val="26"/>
          <w:szCs w:val="26"/>
          <w:vertAlign w:val="baseline"/>
        </w:rPr>
      </w:pPr>
      <w:r>
        <w:rPr>
          <w:bCs/>
          <w:color w:val="000000" w:themeColor="text1"/>
          <w:sz w:val="26"/>
          <w:szCs w:val="26"/>
        </w:rPr>
        <w:t xml:space="preserve">«</w:t>
      </w:r>
      <w:r>
        <w:rPr>
          <w:bCs/>
          <w:color w:val="000000" w:themeColor="text1"/>
          <w:sz w:val="26"/>
          <w:szCs w:val="26"/>
          <w:vertAlign w:val="superscript"/>
        </w:rPr>
        <w:t xml:space="preserve">62</w:t>
      </w:r>
      <w:r>
        <w:rPr>
          <w:bCs/>
          <w:color w:val="000000" w:themeColor="text1"/>
          <w:sz w:val="26"/>
          <w:szCs w:val="26"/>
          <w:vertAlign w:val="baseline"/>
        </w:rPr>
        <w:t xml:space="preserve"> Условия об обесп</w:t>
      </w:r>
      <w:r>
        <w:rPr>
          <w:bCs/>
          <w:color w:val="000000" w:themeColor="text1"/>
          <w:sz w:val="26"/>
          <w:szCs w:val="26"/>
          <w:vertAlign w:val="baseline"/>
        </w:rPr>
        <w:t xml:space="preserve">ечении исполнения Контракта включаются в проект Контракта в случаях, указанных в статье 96 Закона № 44-ФЗ, и исключаются в случае заключения Контракта с Подрядчиком, освобожденным от предоставления обеспечения исполнения Контракта в соответствии с частью 8</w:t>
      </w:r>
      <w:r>
        <w:rPr>
          <w:bCs/>
          <w:color w:val="000000" w:themeColor="text1"/>
          <w:sz w:val="26"/>
          <w:szCs w:val="26"/>
          <w:vertAlign w:val="superscript"/>
        </w:rPr>
        <w:t xml:space="preserve">1 </w:t>
      </w:r>
      <w:r>
        <w:rPr>
          <w:bCs/>
          <w:color w:val="000000" w:themeColor="text1"/>
          <w:sz w:val="26"/>
          <w:szCs w:val="26"/>
          <w:vertAlign w:val="baseline"/>
        </w:rPr>
        <w:t xml:space="preserve">статьи 96 Закона № </w:t>
      </w:r>
      <w:r>
        <w:rPr>
          <w:bCs/>
          <w:sz w:val="26"/>
          <w:szCs w:val="26"/>
          <w:vertAlign w:val="baseline"/>
        </w:rPr>
        <w:t xml:space="preserve">44-ФЗ.»;</w:t>
      </w:r>
      <w:r>
        <w:rPr>
          <w:sz w:val="26"/>
        </w:rPr>
      </w:r>
      <w:r/>
    </w:p>
    <w:p>
      <w:pPr>
        <w:contextualSpacing w:val="false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  <w:vertAlign w:val="baseline"/>
        </w:rPr>
        <w:t xml:space="preserve">примечание 63 </w:t>
      </w:r>
      <w:r>
        <w:rPr>
          <w:bCs/>
          <w:sz w:val="26"/>
          <w:szCs w:val="26"/>
        </w:rPr>
        <w:t xml:space="preserve">изложить в следующей редакции:</w:t>
      </w:r>
      <w:r>
        <w:rPr>
          <w:bCs/>
          <w:sz w:val="26"/>
          <w:szCs w:val="26"/>
          <w:vertAlign w:val="baseline"/>
        </w:rPr>
      </w:r>
      <w:r/>
    </w:p>
    <w:p>
      <w:pPr>
        <w:contextualSpacing w:val="false"/>
        <w:ind w:firstLine="709"/>
        <w:jc w:val="both"/>
        <w:rPr>
          <w:sz w:val="26"/>
          <w:szCs w:val="26"/>
          <w:vertAlign w:val="baseline"/>
        </w:rPr>
      </w:pPr>
      <w:r>
        <w:rPr>
          <w:bCs/>
          <w:sz w:val="26"/>
          <w:szCs w:val="26"/>
        </w:rPr>
        <w:t xml:space="preserve">«</w:t>
      </w:r>
      <w:r>
        <w:rPr>
          <w:bCs/>
          <w:sz w:val="26"/>
          <w:szCs w:val="26"/>
          <w:vertAlign w:val="superscript"/>
        </w:rPr>
        <w:t xml:space="preserve">63 </w:t>
      </w:r>
      <w:r>
        <w:rPr>
          <w:bCs/>
          <w:sz w:val="26"/>
          <w:szCs w:val="26"/>
          <w:vertAlign w:val="baseline"/>
        </w:rPr>
        <w:t xml:space="preserve">Условия об обеспечении гарантийных обязательств включаются в проект Контракта при наличии в проекте Контракта условия о гарантийных обязательствах.</w:t>
      </w:r>
      <w:r>
        <w:rPr>
          <w:sz w:val="26"/>
        </w:rPr>
      </w:r>
      <w:r/>
    </w:p>
    <w:p>
      <w:pPr>
        <w:contextualSpacing w:val="false"/>
        <w:ind w:firstLine="709"/>
        <w:jc w:val="both"/>
        <w:rPr>
          <w:sz w:val="26"/>
          <w:szCs w:val="26"/>
          <w:vertAlign w:val="baseline"/>
        </w:rPr>
      </w:pPr>
      <w:r>
        <w:rPr>
          <w:bCs/>
          <w:sz w:val="26"/>
          <w:szCs w:val="26"/>
          <w:vertAlign w:val="baseline"/>
        </w:rPr>
        <w:t xml:space="preserve">  </w:t>
      </w:r>
      <w:r>
        <w:rPr>
          <w:bCs/>
          <w:sz w:val="26"/>
          <w:szCs w:val="26"/>
          <w:vertAlign w:val="baseline"/>
        </w:rPr>
        <w:t xml:space="preserve">Условия об обеспечении гарантийных обязательств исключаются из проекта Контракта в случае заключения Контракта с Подрядчиком, освобожденным </w:t>
        <w:br/>
        <w:t xml:space="preserve">от предоставления обеспечения гарантийных обязательств в соответствии с частью </w:t>
      </w:r>
      <w:r>
        <w:rPr>
          <w:bCs/>
          <w:sz w:val="26"/>
          <w:szCs w:val="26"/>
          <w:vertAlign w:val="baseline"/>
        </w:rPr>
        <w:t xml:space="preserve">частью 8</w:t>
      </w:r>
      <w:r>
        <w:rPr>
          <w:bCs/>
          <w:sz w:val="26"/>
          <w:szCs w:val="26"/>
          <w:vertAlign w:val="superscript"/>
        </w:rPr>
        <w:t xml:space="preserve">1 </w:t>
      </w:r>
      <w:r>
        <w:rPr>
          <w:bCs/>
          <w:sz w:val="26"/>
          <w:szCs w:val="26"/>
          <w:vertAlign w:val="baseline"/>
        </w:rPr>
        <w:t xml:space="preserve">статьи 96 Закона № 44-ФЗ.</w:t>
      </w:r>
      <w:r>
        <w:rPr>
          <w:bCs/>
          <w:sz w:val="26"/>
          <w:szCs w:val="26"/>
          <w:vertAlign w:val="baseline"/>
        </w:rPr>
        <w:t xml:space="preserve">»;</w:t>
      </w:r>
      <w:r>
        <w:rPr>
          <w:sz w:val="26"/>
          <w:szCs w:val="26"/>
          <w:vertAlign w:val="baseline"/>
        </w:rPr>
      </w:r>
      <w:r/>
    </w:p>
    <w:p>
      <w:pPr>
        <w:contextualSpacing w:val="false"/>
        <w:ind w:firstLine="709"/>
        <w:jc w:val="both"/>
        <w:rPr>
          <w:sz w:val="26"/>
          <w:szCs w:val="26"/>
          <w:vertAlign w:val="baseline"/>
        </w:rPr>
      </w:pPr>
      <w:r>
        <w:rPr>
          <w:bCs/>
          <w:sz w:val="26"/>
          <w:szCs w:val="26"/>
          <w:vertAlign w:val="baseline"/>
        </w:rPr>
        <w:t xml:space="preserve">2) </w:t>
      </w:r>
      <w:r>
        <w:rPr>
          <w:bCs/>
          <w:sz w:val="26"/>
          <w:szCs w:val="26"/>
        </w:rPr>
        <w:t xml:space="preserve">в ти</w:t>
      </w:r>
      <w:r>
        <w:rPr>
          <w:bCs/>
          <w:sz w:val="26"/>
          <w:szCs w:val="26"/>
        </w:rPr>
        <w:t xml:space="preserve">по</w:t>
      </w:r>
      <w:r>
        <w:rPr>
          <w:bCs/>
          <w:sz w:val="26"/>
          <w:szCs w:val="26"/>
        </w:rPr>
        <w:t xml:space="preserve">вом</w:t>
      </w: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контракт</w:t>
      </w:r>
      <w:r>
        <w:rPr>
          <w:bCs/>
          <w:sz w:val="26"/>
          <w:szCs w:val="26"/>
        </w:rPr>
        <w:t xml:space="preserve">е на </w:t>
      </w:r>
      <w:r>
        <w:rPr>
          <w:bCs/>
          <w:sz w:val="26"/>
          <w:szCs w:val="26"/>
        </w:rPr>
        <w:t xml:space="preserve">выполнен</w:t>
      </w:r>
      <w:r>
        <w:rPr>
          <w:bCs/>
          <w:sz w:val="26"/>
          <w:szCs w:val="26"/>
        </w:rPr>
        <w:t xml:space="preserve">ие работ по капитальному ремонту, утвержденном указанным приказом (приложение 2):</w:t>
      </w:r>
      <w:r>
        <w:rPr>
          <w:sz w:val="26"/>
        </w:rPr>
      </w:r>
      <w:r/>
    </w:p>
    <w:p>
      <w:pPr>
        <w:ind w:left="709" w:right="0" w:firstLine="0"/>
        <w:jc w:val="both"/>
        <w:rPr>
          <w:sz w:val="26"/>
          <w:szCs w:val="26"/>
        </w:rPr>
      </w:pPr>
      <w:r>
        <w:rPr>
          <w:bCs/>
          <w:sz w:val="26"/>
          <w:szCs w:val="26"/>
          <w:vertAlign w:val="baseline"/>
        </w:rPr>
        <w:t xml:space="preserve"> </w:t>
      </w:r>
      <w:r>
        <w:rPr>
          <w:bCs/>
          <w:sz w:val="26"/>
          <w:szCs w:val="26"/>
        </w:rPr>
        <w:t xml:space="preserve">пункт 8.3.1 изложить в следующей редакции:</w:t>
      </w:r>
      <w:r>
        <w:rPr>
          <w:sz w:val="26"/>
        </w:rPr>
      </w:r>
      <w:r/>
    </w:p>
    <w:p>
      <w:pPr>
        <w:ind w:firstLine="709"/>
        <w:jc w:val="both"/>
        <w:rPr>
          <w:sz w:val="26"/>
        </w:rPr>
      </w:pPr>
      <w:r>
        <w:rPr>
          <w:bCs/>
          <w:sz w:val="26"/>
          <w:szCs w:val="26"/>
        </w:rPr>
        <w:t xml:space="preserve">«8.3.1. </w:t>
      </w:r>
      <w:r>
        <w:rPr>
          <w:bCs/>
          <w:sz w:val="26"/>
          <w:szCs w:val="26"/>
        </w:rPr>
        <w:t xml:space="preserve">Пеня начисляется за каждый день просрочки исполнения Подрядчиком обязательства, предусмотренного Контрактом, начиная со дня, </w:t>
      </w:r>
      <w:r>
        <w:rPr>
          <w:bCs/>
          <w:sz w:val="26"/>
          <w:szCs w:val="26"/>
        </w:rPr>
        <w:t xml:space="preserve">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>
        <w:rPr>
          <w:bCs/>
          <w:sz w:val="26"/>
          <w:szCs w:val="26"/>
        </w:rPr>
        <w:t xml:space="preserve"> </w:t>
      </w:r>
      <w:r>
        <w:rPr>
          <w:bCs/>
          <w:color w:val="000000" w:themeColor="text1"/>
          <w:sz w:val="26"/>
          <w:szCs w:val="26"/>
        </w:rPr>
        <w:t xml:space="preserve">(отдельного этапа исполнения </w:t>
      </w:r>
      <w:r>
        <w:rPr>
          <w:bCs/>
          <w:color w:val="000000" w:themeColor="text1"/>
          <w:sz w:val="26"/>
          <w:szCs w:val="26"/>
        </w:rPr>
        <w:t xml:space="preserve">К</w:t>
      </w:r>
      <w:r>
        <w:rPr>
          <w:bCs/>
          <w:color w:val="000000" w:themeColor="text1"/>
          <w:sz w:val="26"/>
          <w:szCs w:val="26"/>
        </w:rPr>
        <w:t xml:space="preserve">онтракта)</w:t>
      </w:r>
      <w:r>
        <w:rPr>
          <w:color w:val="000000" w:themeColor="text1"/>
          <w:sz w:val="26"/>
        </w:rPr>
        <w:t xml:space="preserve">*</w:t>
      </w:r>
      <w:r>
        <w:rPr>
          <w:bCs/>
          <w:color w:val="000000" w:themeColor="text1"/>
          <w:sz w:val="26"/>
          <w:szCs w:val="26"/>
        </w:rPr>
        <w:t xml:space="preserve">, уменьшенной на сумму, пропорциональную объему обязательств, предусмотренных Контрактом</w:t>
      </w:r>
      <w:r>
        <w:rPr>
          <w:bCs/>
          <w:color w:val="000000" w:themeColor="text1"/>
          <w:sz w:val="26"/>
          <w:szCs w:val="26"/>
        </w:rPr>
        <w:t xml:space="preserve"> </w:t>
      </w:r>
      <w:r>
        <w:rPr>
          <w:bCs/>
          <w:color w:val="000000" w:themeColor="text1"/>
          <w:sz w:val="26"/>
          <w:szCs w:val="26"/>
        </w:rPr>
        <w:t xml:space="preserve">(соответствующим отдельным этапом исполнения Контракта)</w:t>
      </w:r>
      <w:r>
        <w:rPr>
          <w:color w:val="000000" w:themeColor="text1"/>
          <w:sz w:val="26"/>
        </w:rPr>
        <w:t xml:space="preserve">*</w:t>
      </w:r>
      <w:r>
        <w:rPr>
          <w:bCs/>
          <w:color w:val="000000" w:themeColor="text1"/>
          <w:sz w:val="26"/>
          <w:szCs w:val="26"/>
        </w:rPr>
        <w:t xml:space="preserve"> и фактически исполненных Подрядчиком, за исключением случаев, если законодательством</w:t>
      </w:r>
      <w:r>
        <w:rPr>
          <w:bCs/>
          <w:sz w:val="26"/>
          <w:szCs w:val="26"/>
        </w:rPr>
        <w:t xml:space="preserve"> Российской Федерации установлен иной порядок начисления пени.</w:t>
      </w:r>
      <w:r>
        <w:rPr>
          <w:bCs/>
          <w:sz w:val="26"/>
          <w:szCs w:val="26"/>
          <w:vertAlign w:val="superscript"/>
        </w:rPr>
        <w:t xml:space="preserve">52</w:t>
      </w:r>
      <w:r>
        <w:rPr>
          <w:bCs/>
          <w:sz w:val="26"/>
          <w:szCs w:val="26"/>
        </w:rPr>
        <w:t xml:space="preserve">»;</w:t>
      </w:r>
      <w:r>
        <w:rPr>
          <w:sz w:val="26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</w:r>
      <w:r>
        <w:rPr>
          <w:bCs/>
          <w:sz w:val="26"/>
          <w:szCs w:val="26"/>
        </w:rPr>
        <w:t xml:space="preserve">примечание 62 изложить в следующей редакции:</w:t>
      </w:r>
      <w:r>
        <w:rPr>
          <w:sz w:val="26"/>
        </w:rPr>
      </w:r>
      <w:r/>
    </w:p>
    <w:p>
      <w:pPr>
        <w:contextualSpacing w:val="false"/>
        <w:ind w:firstLine="709"/>
        <w:jc w:val="both"/>
      </w:pPr>
      <w:r>
        <w:rPr>
          <w:bCs/>
          <w:sz w:val="26"/>
          <w:szCs w:val="26"/>
        </w:rPr>
        <w:t xml:space="preserve">«</w:t>
      </w:r>
      <w:r>
        <w:rPr>
          <w:bCs/>
          <w:sz w:val="26"/>
          <w:szCs w:val="26"/>
          <w:vertAlign w:val="superscript"/>
        </w:rPr>
        <w:t xml:space="preserve">62</w:t>
      </w:r>
      <w:r>
        <w:rPr>
          <w:bCs/>
          <w:sz w:val="26"/>
          <w:szCs w:val="26"/>
          <w:vertAlign w:val="baseline"/>
        </w:rPr>
        <w:t xml:space="preserve"> Условия об обесп</w:t>
      </w:r>
      <w:r>
        <w:rPr>
          <w:bCs/>
          <w:sz w:val="26"/>
          <w:szCs w:val="26"/>
          <w:vertAlign w:val="baseline"/>
        </w:rPr>
        <w:t xml:space="preserve">ечении исполнения Контракта включаются в проект Контракта в случаях, указанных в статье 96 Закона № 44-ФЗ, и исключаются в случае заключения Контракта с Подрядчиком, освобожденным от предоставления обеспечения исполнения Контракта в соответствии с частью 8</w:t>
      </w:r>
      <w:r>
        <w:rPr>
          <w:bCs/>
          <w:sz w:val="26"/>
          <w:szCs w:val="26"/>
          <w:vertAlign w:val="superscript"/>
        </w:rPr>
        <w:t xml:space="preserve">1 </w:t>
      </w:r>
      <w:r>
        <w:rPr>
          <w:bCs/>
          <w:sz w:val="26"/>
          <w:szCs w:val="26"/>
          <w:vertAlign w:val="baseline"/>
        </w:rPr>
        <w:t xml:space="preserve">статьи 96 Закона № 44-ФЗ.»;</w:t>
      </w:r>
      <w:r>
        <w:rPr>
          <w:sz w:val="26"/>
        </w:rPr>
      </w:r>
      <w:r/>
    </w:p>
    <w:p>
      <w:pPr>
        <w:contextualSpacing w:val="false"/>
        <w:ind w:firstLine="709"/>
        <w:jc w:val="both"/>
        <w:rPr>
          <w:sz w:val="26"/>
          <w:szCs w:val="26"/>
        </w:rPr>
      </w:pPr>
      <w:r>
        <w:rPr>
          <w:sz w:val="26"/>
        </w:rPr>
      </w:r>
      <w:r>
        <w:rPr>
          <w:bCs/>
          <w:sz w:val="26"/>
          <w:szCs w:val="26"/>
          <w:vertAlign w:val="baseline"/>
        </w:rPr>
        <w:t xml:space="preserve">примечание 63 </w:t>
      </w:r>
      <w:r>
        <w:rPr>
          <w:bCs/>
          <w:sz w:val="26"/>
          <w:szCs w:val="26"/>
        </w:rPr>
        <w:t xml:space="preserve">изложить в следующей редакции:</w:t>
      </w:r>
      <w:r>
        <w:rPr>
          <w:sz w:val="26"/>
        </w:rPr>
      </w:r>
      <w:r/>
    </w:p>
    <w:p>
      <w:pPr>
        <w:contextualSpacing w:val="false"/>
        <w:ind w:firstLine="709"/>
        <w:jc w:val="both"/>
      </w:pPr>
      <w:r>
        <w:rPr>
          <w:bCs/>
          <w:sz w:val="26"/>
          <w:szCs w:val="26"/>
        </w:rPr>
        <w:t xml:space="preserve">«</w:t>
      </w:r>
      <w:r>
        <w:rPr>
          <w:bCs/>
          <w:sz w:val="26"/>
          <w:szCs w:val="26"/>
          <w:vertAlign w:val="superscript"/>
        </w:rPr>
        <w:t xml:space="preserve">63 </w:t>
      </w:r>
      <w:r>
        <w:rPr>
          <w:bCs/>
          <w:sz w:val="26"/>
          <w:szCs w:val="26"/>
          <w:vertAlign w:val="baseline"/>
        </w:rPr>
        <w:t xml:space="preserve">Условия об обеспечении гарантийных обязательств включаются в проект Контракта при наличии в проекте Контракта условия о гарантийных обязательствах.</w:t>
      </w:r>
      <w:r>
        <w:rPr>
          <w:sz w:val="26"/>
        </w:rPr>
      </w:r>
      <w:r/>
    </w:p>
    <w:p>
      <w:pPr>
        <w:contextualSpacing w:val="false"/>
        <w:ind w:firstLine="709"/>
        <w:jc w:val="both"/>
      </w:pPr>
      <w:r>
        <w:rPr>
          <w:bCs/>
          <w:sz w:val="26"/>
          <w:szCs w:val="26"/>
          <w:vertAlign w:val="baseline"/>
        </w:rPr>
        <w:t xml:space="preserve">  </w:t>
      </w:r>
      <w:r>
        <w:rPr>
          <w:bCs/>
          <w:sz w:val="26"/>
          <w:szCs w:val="26"/>
          <w:vertAlign w:val="baseline"/>
        </w:rPr>
        <w:t xml:space="preserve">Условия об обеспечении гарантийных обязательств исключаются из проекта Контракта в случае заключения Контракта с Подрядчиком, освобожденным </w:t>
        <w:br/>
        <w:t xml:space="preserve">от предоставления обеспечения гарантийных обязательств в соответствии с частью </w:t>
      </w:r>
      <w:r>
        <w:rPr>
          <w:bCs/>
          <w:sz w:val="26"/>
          <w:szCs w:val="26"/>
          <w:vertAlign w:val="baseline"/>
        </w:rPr>
        <w:t xml:space="preserve">частью 8</w:t>
      </w:r>
      <w:r>
        <w:rPr>
          <w:bCs/>
          <w:sz w:val="26"/>
          <w:szCs w:val="26"/>
          <w:vertAlign w:val="superscript"/>
        </w:rPr>
        <w:t xml:space="preserve">1 </w:t>
      </w:r>
      <w:r>
        <w:rPr>
          <w:bCs/>
          <w:sz w:val="26"/>
          <w:szCs w:val="26"/>
          <w:vertAlign w:val="baseline"/>
        </w:rPr>
        <w:t xml:space="preserve">статьи 96 Закона № 44-ФЗ.</w:t>
      </w:r>
      <w:r>
        <w:rPr>
          <w:bCs/>
          <w:sz w:val="26"/>
          <w:szCs w:val="26"/>
          <w:vertAlign w:val="baseline"/>
        </w:rPr>
        <w:t xml:space="preserve">»;</w:t>
      </w:r>
      <w:r>
        <w:rPr>
          <w:sz w:val="26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</w:rPr>
        <w:t xml:space="preserve">3) в типовом контракте на выполнение работ по строительству объекта</w:t>
      </w:r>
      <w:r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 xml:space="preserve">утвержденном указанным приказом (приложение 3):</w:t>
      </w:r>
      <w:r>
        <w:rPr>
          <w:sz w:val="26"/>
        </w:rPr>
      </w:r>
      <w:r/>
    </w:p>
    <w:p>
      <w:pPr>
        <w:ind w:left="709" w:right="0" w:firstLine="0"/>
        <w:jc w:val="both"/>
        <w:rPr>
          <w:sz w:val="26"/>
          <w:szCs w:val="26"/>
        </w:rPr>
      </w:pPr>
      <w:r>
        <w:rPr>
          <w:bCs/>
          <w:sz w:val="26"/>
          <w:szCs w:val="26"/>
        </w:rPr>
      </w:r>
      <w:r>
        <w:rPr>
          <w:bCs/>
          <w:sz w:val="26"/>
          <w:szCs w:val="26"/>
        </w:rPr>
        <w:t xml:space="preserve">пункт 8.3.1 изложить в следующей редакции:</w:t>
      </w:r>
      <w:r/>
    </w:p>
    <w:p>
      <w:pPr>
        <w:contextualSpacing w:val="false"/>
        <w:ind w:firstLine="709"/>
        <w:jc w:val="both"/>
        <w:rPr>
          <w:color w:val="000000" w:themeColor="text1"/>
          <w:sz w:val="26"/>
        </w:rPr>
      </w:pPr>
      <w:r>
        <w:rPr>
          <w:bCs/>
          <w:sz w:val="26"/>
          <w:szCs w:val="26"/>
        </w:rPr>
        <w:t xml:space="preserve">«8.3.1. </w:t>
      </w:r>
      <w:r>
        <w:rPr>
          <w:bCs/>
          <w:sz w:val="26"/>
          <w:szCs w:val="26"/>
        </w:rPr>
        <w:t xml:space="preserve">Пеня начисляется за каждый день просрочки исполнения Подрядчиком обязательства, предусмотренного Контрактом, начиная со дня, </w:t>
      </w:r>
      <w:r>
        <w:rPr>
          <w:bCs/>
          <w:sz w:val="26"/>
          <w:szCs w:val="26"/>
        </w:rPr>
        <w:t xml:space="preserve">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>
        <w:rPr>
          <w:bCs/>
          <w:sz w:val="26"/>
          <w:szCs w:val="26"/>
        </w:rPr>
        <w:t xml:space="preserve"> </w:t>
      </w:r>
      <w:r>
        <w:rPr>
          <w:bCs/>
          <w:color w:val="000000" w:themeColor="text1"/>
          <w:sz w:val="26"/>
          <w:szCs w:val="26"/>
        </w:rPr>
        <w:t xml:space="preserve">(отдельного этапа исполнения </w:t>
      </w:r>
      <w:r>
        <w:rPr>
          <w:bCs/>
          <w:color w:val="000000" w:themeColor="text1"/>
          <w:sz w:val="26"/>
          <w:szCs w:val="26"/>
        </w:rPr>
        <w:t xml:space="preserve">К</w:t>
      </w:r>
      <w:r>
        <w:rPr>
          <w:bCs/>
          <w:color w:val="000000" w:themeColor="text1"/>
          <w:sz w:val="26"/>
          <w:szCs w:val="26"/>
        </w:rPr>
        <w:t xml:space="preserve">онтракта)</w:t>
      </w:r>
      <w:r>
        <w:rPr>
          <w:color w:val="000000" w:themeColor="text1"/>
          <w:sz w:val="26"/>
        </w:rPr>
        <w:t xml:space="preserve">*</w:t>
      </w:r>
      <w:r>
        <w:rPr>
          <w:bCs/>
          <w:color w:val="000000" w:themeColor="text1"/>
          <w:sz w:val="26"/>
          <w:szCs w:val="26"/>
        </w:rPr>
        <w:t xml:space="preserve">, уменьшенной на сумму, пропорциональную объему обязательств, предусмотренных Контрактом</w:t>
      </w:r>
      <w:r>
        <w:rPr>
          <w:bCs/>
          <w:color w:val="000000" w:themeColor="text1"/>
          <w:sz w:val="26"/>
          <w:szCs w:val="26"/>
        </w:rPr>
        <w:t xml:space="preserve"> </w:t>
      </w:r>
      <w:r>
        <w:rPr>
          <w:bCs/>
          <w:color w:val="000000" w:themeColor="text1"/>
          <w:sz w:val="26"/>
          <w:szCs w:val="26"/>
        </w:rPr>
        <w:t xml:space="preserve">(соответствующим отдельным этапом исполнения Контракта)</w:t>
      </w:r>
      <w:r>
        <w:rPr>
          <w:color w:val="000000" w:themeColor="text1"/>
          <w:sz w:val="26"/>
        </w:rPr>
        <w:t xml:space="preserve">*</w:t>
      </w:r>
      <w:r>
        <w:rPr>
          <w:bCs/>
          <w:color w:val="000000" w:themeColor="text1"/>
          <w:sz w:val="26"/>
          <w:szCs w:val="26"/>
        </w:rPr>
        <w:t xml:space="preserve">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  <w:r>
        <w:rPr>
          <w:bCs/>
          <w:color w:val="000000" w:themeColor="text1"/>
          <w:sz w:val="26"/>
          <w:szCs w:val="26"/>
          <w:vertAlign w:val="superscript"/>
        </w:rPr>
        <w:t xml:space="preserve">72</w:t>
      </w:r>
      <w:r>
        <w:rPr>
          <w:bCs/>
          <w:color w:val="000000" w:themeColor="text1"/>
          <w:sz w:val="26"/>
          <w:szCs w:val="26"/>
        </w:rPr>
        <w:t xml:space="preserve">»;</w:t>
      </w:r>
      <w:r>
        <w:rPr>
          <w:bCs/>
          <w:color w:val="000000" w:themeColor="text1"/>
          <w:sz w:val="26"/>
          <w:szCs w:val="26"/>
        </w:rPr>
      </w:r>
      <w:r>
        <w:rPr>
          <w:color w:val="000000" w:themeColor="text1"/>
        </w:rPr>
      </w:r>
    </w:p>
    <w:p>
      <w:pPr>
        <w:contextualSpacing w:val="false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примечание 83 изложить в следующей редакции:</w:t>
      </w:r>
      <w:r>
        <w:rPr>
          <w:bCs/>
          <w:sz w:val="26"/>
          <w:szCs w:val="26"/>
        </w:rPr>
      </w:r>
      <w:r/>
    </w:p>
    <w:p>
      <w:pPr>
        <w:contextualSpacing w:val="false"/>
        <w:ind w:firstLine="709"/>
        <w:jc w:val="both"/>
        <w:rPr>
          <w:sz w:val="26"/>
          <w:szCs w:val="26"/>
          <w:vertAlign w:val="baseline"/>
        </w:rPr>
      </w:pPr>
      <w:r>
        <w:rPr>
          <w:bCs/>
          <w:sz w:val="26"/>
          <w:szCs w:val="26"/>
        </w:rPr>
        <w:t xml:space="preserve">«</w:t>
      </w:r>
      <w:r>
        <w:rPr>
          <w:bCs/>
          <w:sz w:val="26"/>
          <w:szCs w:val="26"/>
          <w:vertAlign w:val="superscript"/>
        </w:rPr>
        <w:t xml:space="preserve">83</w:t>
      </w:r>
      <w:r>
        <w:rPr>
          <w:bCs/>
          <w:sz w:val="26"/>
          <w:szCs w:val="26"/>
          <w:vertAlign w:val="baseline"/>
        </w:rPr>
        <w:t xml:space="preserve"> </w:t>
      </w:r>
      <w:r>
        <w:rPr>
          <w:bCs/>
          <w:sz w:val="26"/>
          <w:szCs w:val="26"/>
          <w:vertAlign w:val="baseline"/>
        </w:rPr>
        <w:t xml:space="preserve">У</w:t>
      </w:r>
      <w:r>
        <w:rPr>
          <w:bCs/>
          <w:sz w:val="26"/>
          <w:szCs w:val="26"/>
          <w:vertAlign w:val="baseline"/>
        </w:rPr>
        <w:t xml:space="preserve">словия об обесп</w:t>
      </w:r>
      <w:r>
        <w:rPr>
          <w:bCs/>
          <w:sz w:val="26"/>
          <w:szCs w:val="26"/>
          <w:vertAlign w:val="baseline"/>
        </w:rPr>
        <w:t xml:space="preserve">ечении исполнения Контракта включаются в проект Контракта в случаях, указанны</w:t>
      </w:r>
      <w:r>
        <w:rPr>
          <w:bCs/>
          <w:sz w:val="26"/>
          <w:szCs w:val="26"/>
          <w:vertAlign w:val="baseline"/>
        </w:rPr>
        <w:t xml:space="preserve">х в статье 96 Закона № 44-ФЗ, и исключаются в случае заключения Контракта с Подрядчиком, освобожденным от предоставления обеспечения исполнения Контракта в соответствии с частью 8</w:t>
      </w:r>
      <w:r>
        <w:rPr>
          <w:bCs/>
          <w:sz w:val="26"/>
          <w:szCs w:val="26"/>
          <w:vertAlign w:val="superscript"/>
        </w:rPr>
        <w:t xml:space="preserve">1 </w:t>
      </w:r>
      <w:r>
        <w:rPr>
          <w:bCs/>
          <w:sz w:val="26"/>
          <w:szCs w:val="26"/>
          <w:vertAlign w:val="baseline"/>
        </w:rPr>
        <w:t xml:space="preserve">статьи 96 Закона № 44-ФЗ.»;</w:t>
      </w:r>
      <w:r>
        <w:rPr>
          <w:sz w:val="26"/>
          <w:szCs w:val="26"/>
          <w:vertAlign w:val="baseline"/>
        </w:rPr>
      </w:r>
      <w:r/>
    </w:p>
    <w:p>
      <w:pPr>
        <w:contextualSpacing w:val="false"/>
        <w:ind w:firstLine="709"/>
        <w:jc w:val="both"/>
        <w:rPr>
          <w:sz w:val="26"/>
          <w:szCs w:val="26"/>
          <w:vertAlign w:val="baseline"/>
        </w:rPr>
      </w:pPr>
      <w:r>
        <w:rPr>
          <w:bCs/>
          <w:sz w:val="26"/>
          <w:szCs w:val="26"/>
          <w:vertAlign w:val="baseline"/>
        </w:rPr>
        <w:t xml:space="preserve">примечание 84 изложить в следующей редакции:</w:t>
      </w:r>
      <w:r>
        <w:rPr>
          <w:bCs/>
          <w:sz w:val="26"/>
          <w:szCs w:val="26"/>
          <w:vertAlign w:val="baseline"/>
        </w:rPr>
      </w:r>
      <w:r/>
    </w:p>
    <w:p>
      <w:pPr>
        <w:contextualSpacing w:val="false"/>
        <w:ind w:firstLine="709"/>
        <w:jc w:val="both"/>
        <w:rPr>
          <w:sz w:val="26"/>
          <w:szCs w:val="26"/>
          <w:vertAlign w:val="baseline"/>
        </w:rPr>
      </w:pPr>
      <w:r>
        <w:rPr>
          <w:bCs/>
          <w:sz w:val="26"/>
          <w:szCs w:val="26"/>
          <w:vertAlign w:val="baseline"/>
        </w:rPr>
        <w:t xml:space="preserve">«</w:t>
      </w:r>
      <w:r>
        <w:rPr>
          <w:bCs/>
          <w:sz w:val="26"/>
          <w:szCs w:val="26"/>
          <w:vertAlign w:val="superscript"/>
        </w:rPr>
        <w:t xml:space="preserve">84</w:t>
      </w:r>
      <w:r>
        <w:rPr>
          <w:bCs/>
          <w:sz w:val="26"/>
          <w:szCs w:val="26"/>
          <w:vertAlign w:val="baseline"/>
        </w:rPr>
        <w:t xml:space="preserve"> </w:t>
      </w:r>
      <w:r>
        <w:rPr>
          <w:bCs/>
          <w:sz w:val="26"/>
          <w:szCs w:val="26"/>
          <w:vertAlign w:val="baseline"/>
        </w:rPr>
        <w:t xml:space="preserve">Условия об</w:t>
      </w:r>
      <w:r>
        <w:rPr>
          <w:bCs/>
          <w:sz w:val="26"/>
          <w:szCs w:val="26"/>
          <w:vertAlign w:val="baseline"/>
        </w:rPr>
        <w:t xml:space="preserve"> обеспечении гарантийных обязательств включаются в проект Контракта при наличии в проекте Контракта условия о гарантийных обязательствах.</w:t>
      </w:r>
      <w:r/>
    </w:p>
    <w:p>
      <w:pPr>
        <w:contextualSpacing w:val="false"/>
        <w:ind w:firstLine="709"/>
        <w:jc w:val="both"/>
      </w:pPr>
      <w:r>
        <w:rPr>
          <w:bCs/>
          <w:sz w:val="26"/>
          <w:szCs w:val="26"/>
          <w:vertAlign w:val="baseline"/>
        </w:rPr>
        <w:t xml:space="preserve">  </w:t>
      </w:r>
      <w:r>
        <w:rPr>
          <w:bCs/>
          <w:sz w:val="26"/>
          <w:szCs w:val="26"/>
          <w:vertAlign w:val="baseline"/>
        </w:rPr>
        <w:t xml:space="preserve">Условия об обеспечении гарантийных обязательств исключаются из проекта Контракта в случае заключения Контракта с Подрядчиком, освобожденным </w:t>
        <w:br/>
        <w:t xml:space="preserve">от предоставления обеспечения гарантийных обязательств в соответствии с частью </w:t>
      </w:r>
      <w:r>
        <w:rPr>
          <w:bCs/>
          <w:sz w:val="26"/>
          <w:szCs w:val="26"/>
          <w:vertAlign w:val="baseline"/>
        </w:rPr>
        <w:t xml:space="preserve">частью 8</w:t>
      </w:r>
      <w:r>
        <w:rPr>
          <w:bCs/>
          <w:sz w:val="26"/>
          <w:szCs w:val="26"/>
          <w:vertAlign w:val="superscript"/>
        </w:rPr>
        <w:t xml:space="preserve">1 </w:t>
      </w:r>
      <w:r>
        <w:rPr>
          <w:bCs/>
          <w:sz w:val="26"/>
          <w:szCs w:val="26"/>
          <w:vertAlign w:val="baseline"/>
        </w:rPr>
        <w:t xml:space="preserve">статьи 96 Закона № 44-ФЗ.</w:t>
      </w:r>
      <w:r>
        <w:rPr>
          <w:bCs/>
          <w:sz w:val="26"/>
          <w:szCs w:val="26"/>
          <w:vertAlign w:val="baseline"/>
        </w:rPr>
        <w:t xml:space="preserve">»</w:t>
      </w:r>
      <w:r>
        <w:rPr>
          <w:bCs/>
          <w:sz w:val="26"/>
          <w:szCs w:val="26"/>
          <w:vertAlign w:val="baseline"/>
        </w:rPr>
        <w:t xml:space="preserve">.</w:t>
      </w:r>
      <w:r>
        <w:rPr>
          <w:sz w:val="26"/>
          <w:szCs w:val="26"/>
          <w:vertAlign w:val="baseline"/>
        </w:rPr>
      </w:r>
      <w:r/>
    </w:p>
    <w:p>
      <w:pPr>
        <w:contextualSpacing w:val="false"/>
        <w:ind w:firstLine="709"/>
        <w:jc w:val="both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</w:rPr>
      </w:r>
      <w:r/>
    </w:p>
    <w:p>
      <w:pPr>
        <w:contextualSpacing w:val="false"/>
        <w:ind w:firstLine="709"/>
        <w:jc w:val="both"/>
        <w:rPr>
          <w:sz w:val="26"/>
          <w:szCs w:val="26"/>
          <w:vertAlign w:val="baseline"/>
        </w:rPr>
      </w:pPr>
      <w:r>
        <w:rPr>
          <w:bCs/>
          <w:sz w:val="26"/>
          <w:szCs w:val="26"/>
          <w:vertAlign w:val="baseline"/>
        </w:rPr>
      </w:r>
      <w:r>
        <w:rPr>
          <w:bCs/>
          <w:sz w:val="26"/>
          <w:szCs w:val="26"/>
          <w:vertAlign w:val="baseline"/>
        </w:rPr>
      </w:r>
      <w:r/>
    </w:p>
    <w:p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contextualSpacing w:val="false"/>
        <w:ind w:firstLine="709"/>
        <w:jc w:val="both"/>
        <w:rPr>
          <w:sz w:val="26"/>
          <w:szCs w:val="26"/>
          <w:vertAlign w:val="baseline"/>
        </w:rPr>
      </w:pPr>
      <w:r>
        <w:rPr>
          <w:bCs/>
          <w:sz w:val="26"/>
          <w:szCs w:val="26"/>
          <w:vertAlign w:val="baseline"/>
        </w:rPr>
      </w:r>
      <w:r>
        <w:rPr>
          <w:sz w:val="26"/>
          <w:szCs w:val="26"/>
        </w:rPr>
      </w:r>
      <w:r/>
    </w:p>
    <w:p>
      <w:pPr>
        <w:ind w:right="-1"/>
        <w:widowControl w:val="off"/>
        <w:rPr>
          <w:sz w:val="26"/>
          <w:szCs w:val="26"/>
        </w:rPr>
      </w:pPr>
      <w:r>
        <w:rPr>
          <w:sz w:val="26"/>
          <w:szCs w:val="26"/>
        </w:rPr>
        <w:t xml:space="preserve">Начальник департамента                                                                                   </w:t>
      </w:r>
      <w:r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Г.В.Гонгина</w:t>
      </w:r>
      <w:r/>
    </w:p>
    <w:sectPr>
      <w:headerReference w:type="default" r:id="rId8"/>
      <w:headerReference w:type="first" r:id="rId9"/>
      <w:footnotePr>
        <w:numStart w:val="50"/>
      </w:footnotePr>
      <w:type w:val="nextPage"/>
      <w:pgSz w:w="11906" w:h="16838" w:orient="portrait"/>
      <w:pgMar w:top="1134" w:right="567" w:bottom="1134" w:left="1134" w:header="709" w:footer="709"/>
      <w:pgNumType w:start="1"/>
      <w:cols w:num="1" w:sep="0" w:space="708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3020203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9401550"/>
      <w:docPartObj>
        <w:docPartGallery w:val="Page Numbers (Top of Page)"/>
        <w:docPartUnique w:val="true"/>
      </w:docPartObj>
    </w:sdtPr>
    <w:sdtContent>
      <w:p>
        <w:pPr>
          <w:pStyle w:val="58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58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8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33425" cy="666750"/>
              <wp:effectExtent l="0" t="0" r="9525" b="0"/>
              <wp:docPr id="1" name="Рисунок 2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1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33424" cy="6667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8pt;height:52.5pt;" stroked="false">
              <v:path textboxrect="0,0,0,0"/>
              <v:imagedata r:id="rId1" o:title="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84" w:hanging="6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834" w:hanging="112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6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50"/>
    <w:pos w:val="pageBottom"/>
  </w:foot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10">
    <w:name w:val="Heading 1"/>
    <w:basedOn w:val="574"/>
    <w:next w:val="574"/>
    <w:link w:val="41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11">
    <w:name w:val="Heading 1 Char"/>
    <w:basedOn w:val="576"/>
    <w:link w:val="410"/>
    <w:uiPriority w:val="9"/>
    <w:rPr>
      <w:rFonts w:ascii="Arial" w:hAnsi="Arial" w:cs="Arial" w:eastAsia="Arial"/>
      <w:sz w:val="40"/>
      <w:szCs w:val="40"/>
    </w:rPr>
  </w:style>
  <w:style w:type="character" w:styleId="412">
    <w:name w:val="Heading 2 Char"/>
    <w:basedOn w:val="576"/>
    <w:link w:val="575"/>
    <w:uiPriority w:val="9"/>
    <w:rPr>
      <w:rFonts w:ascii="Arial" w:hAnsi="Arial" w:cs="Arial" w:eastAsia="Arial"/>
      <w:sz w:val="34"/>
    </w:rPr>
  </w:style>
  <w:style w:type="paragraph" w:styleId="413">
    <w:name w:val="Heading 3"/>
    <w:basedOn w:val="574"/>
    <w:next w:val="574"/>
    <w:link w:val="414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14">
    <w:name w:val="Heading 3 Char"/>
    <w:basedOn w:val="576"/>
    <w:link w:val="413"/>
    <w:uiPriority w:val="9"/>
    <w:rPr>
      <w:rFonts w:ascii="Arial" w:hAnsi="Arial" w:cs="Arial" w:eastAsia="Arial"/>
      <w:sz w:val="30"/>
      <w:szCs w:val="30"/>
    </w:rPr>
  </w:style>
  <w:style w:type="paragraph" w:styleId="415">
    <w:name w:val="Heading 4"/>
    <w:basedOn w:val="574"/>
    <w:next w:val="574"/>
    <w:link w:val="41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16">
    <w:name w:val="Heading 4 Char"/>
    <w:basedOn w:val="576"/>
    <w:link w:val="415"/>
    <w:uiPriority w:val="9"/>
    <w:rPr>
      <w:rFonts w:ascii="Arial" w:hAnsi="Arial" w:cs="Arial" w:eastAsia="Arial"/>
      <w:b/>
      <w:bCs/>
      <w:sz w:val="26"/>
      <w:szCs w:val="26"/>
    </w:rPr>
  </w:style>
  <w:style w:type="paragraph" w:styleId="417">
    <w:name w:val="Heading 5"/>
    <w:basedOn w:val="574"/>
    <w:next w:val="574"/>
    <w:link w:val="418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18">
    <w:name w:val="Heading 5 Char"/>
    <w:basedOn w:val="576"/>
    <w:link w:val="417"/>
    <w:uiPriority w:val="9"/>
    <w:rPr>
      <w:rFonts w:ascii="Arial" w:hAnsi="Arial" w:cs="Arial" w:eastAsia="Arial"/>
      <w:b/>
      <w:bCs/>
      <w:sz w:val="24"/>
      <w:szCs w:val="24"/>
    </w:rPr>
  </w:style>
  <w:style w:type="paragraph" w:styleId="419">
    <w:name w:val="Heading 6"/>
    <w:basedOn w:val="574"/>
    <w:next w:val="574"/>
    <w:link w:val="42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20">
    <w:name w:val="Heading 6 Char"/>
    <w:basedOn w:val="576"/>
    <w:link w:val="419"/>
    <w:uiPriority w:val="9"/>
    <w:rPr>
      <w:rFonts w:ascii="Arial" w:hAnsi="Arial" w:cs="Arial" w:eastAsia="Arial"/>
      <w:b/>
      <w:bCs/>
      <w:sz w:val="22"/>
      <w:szCs w:val="22"/>
    </w:rPr>
  </w:style>
  <w:style w:type="paragraph" w:styleId="421">
    <w:name w:val="Heading 7"/>
    <w:basedOn w:val="574"/>
    <w:next w:val="574"/>
    <w:link w:val="422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22">
    <w:name w:val="Heading 7 Char"/>
    <w:basedOn w:val="576"/>
    <w:link w:val="42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23">
    <w:name w:val="Heading 8"/>
    <w:basedOn w:val="574"/>
    <w:next w:val="574"/>
    <w:link w:val="42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24">
    <w:name w:val="Heading 8 Char"/>
    <w:basedOn w:val="576"/>
    <w:link w:val="423"/>
    <w:uiPriority w:val="9"/>
    <w:rPr>
      <w:rFonts w:ascii="Arial" w:hAnsi="Arial" w:cs="Arial" w:eastAsia="Arial"/>
      <w:i/>
      <w:iCs/>
      <w:sz w:val="22"/>
      <w:szCs w:val="22"/>
    </w:rPr>
  </w:style>
  <w:style w:type="paragraph" w:styleId="425">
    <w:name w:val="Heading 9"/>
    <w:basedOn w:val="574"/>
    <w:next w:val="574"/>
    <w:link w:val="42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26">
    <w:name w:val="Heading 9 Char"/>
    <w:basedOn w:val="576"/>
    <w:link w:val="425"/>
    <w:uiPriority w:val="9"/>
    <w:rPr>
      <w:rFonts w:ascii="Arial" w:hAnsi="Arial" w:cs="Arial" w:eastAsia="Arial"/>
      <w:i/>
      <w:iCs/>
      <w:sz w:val="21"/>
      <w:szCs w:val="21"/>
    </w:rPr>
  </w:style>
  <w:style w:type="paragraph" w:styleId="427">
    <w:name w:val="No Spacing"/>
    <w:qFormat/>
    <w:uiPriority w:val="1"/>
    <w:pPr>
      <w:spacing w:lineRule="auto" w:line="240" w:after="0" w:before="0"/>
    </w:pPr>
  </w:style>
  <w:style w:type="paragraph" w:styleId="428">
    <w:name w:val="Title"/>
    <w:basedOn w:val="574"/>
    <w:next w:val="574"/>
    <w:link w:val="42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29">
    <w:name w:val="Title Char"/>
    <w:basedOn w:val="576"/>
    <w:link w:val="428"/>
    <w:uiPriority w:val="10"/>
    <w:rPr>
      <w:sz w:val="48"/>
      <w:szCs w:val="48"/>
    </w:rPr>
  </w:style>
  <w:style w:type="paragraph" w:styleId="430">
    <w:name w:val="Subtitle"/>
    <w:basedOn w:val="574"/>
    <w:next w:val="574"/>
    <w:link w:val="431"/>
    <w:qFormat/>
    <w:uiPriority w:val="11"/>
    <w:rPr>
      <w:sz w:val="24"/>
      <w:szCs w:val="24"/>
    </w:rPr>
    <w:pPr>
      <w:spacing w:after="200" w:before="200"/>
    </w:pPr>
  </w:style>
  <w:style w:type="character" w:styleId="431">
    <w:name w:val="Subtitle Char"/>
    <w:basedOn w:val="576"/>
    <w:link w:val="430"/>
    <w:uiPriority w:val="11"/>
    <w:rPr>
      <w:sz w:val="24"/>
      <w:szCs w:val="24"/>
    </w:rPr>
  </w:style>
  <w:style w:type="paragraph" w:styleId="432">
    <w:name w:val="Quote"/>
    <w:basedOn w:val="574"/>
    <w:next w:val="574"/>
    <w:link w:val="433"/>
    <w:qFormat/>
    <w:uiPriority w:val="29"/>
    <w:rPr>
      <w:i/>
    </w:rPr>
    <w:pPr>
      <w:ind w:left="720" w:right="720"/>
    </w:pPr>
  </w:style>
  <w:style w:type="character" w:styleId="433">
    <w:name w:val="Quote Char"/>
    <w:link w:val="432"/>
    <w:uiPriority w:val="29"/>
    <w:rPr>
      <w:i/>
    </w:rPr>
  </w:style>
  <w:style w:type="paragraph" w:styleId="434">
    <w:name w:val="Intense Quote"/>
    <w:basedOn w:val="574"/>
    <w:next w:val="574"/>
    <w:link w:val="435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5">
    <w:name w:val="Intense Quote Char"/>
    <w:link w:val="434"/>
    <w:uiPriority w:val="30"/>
    <w:rPr>
      <w:i/>
    </w:rPr>
  </w:style>
  <w:style w:type="character" w:styleId="436">
    <w:name w:val="Header Char"/>
    <w:basedOn w:val="576"/>
    <w:link w:val="588"/>
    <w:uiPriority w:val="99"/>
  </w:style>
  <w:style w:type="character" w:styleId="437">
    <w:name w:val="Footer Char"/>
    <w:basedOn w:val="576"/>
    <w:link w:val="590"/>
    <w:uiPriority w:val="99"/>
  </w:style>
  <w:style w:type="table" w:styleId="438">
    <w:name w:val="Table Grid Light"/>
    <w:basedOn w:val="57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9">
    <w:name w:val="Plain Table 1"/>
    <w:basedOn w:val="57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0">
    <w:name w:val="Plain Table 2"/>
    <w:basedOn w:val="57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1">
    <w:name w:val="Plain Table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2">
    <w:name w:val="Plain Table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3">
    <w:name w:val="Plain Table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4">
    <w:name w:val="Grid Table 1 Light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5">
    <w:name w:val="Grid Table 1 Light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6">
    <w:name w:val="Grid Table 1 Light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>
    <w:name w:val="Grid Table 1 Light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8">
    <w:name w:val="Grid Table 1 Light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9">
    <w:name w:val="Grid Table 1 Light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0">
    <w:name w:val="Grid Table 1 Light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1">
    <w:name w:val="Grid Table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2">
    <w:name w:val="Grid Table 2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53">
    <w:name w:val="Grid Table 2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4">
    <w:name w:val="Grid Table 2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5">
    <w:name w:val="Grid Table 2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6">
    <w:name w:val="Grid Table 2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57">
    <w:name w:val="Grid Table 2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58">
    <w:name w:val="Grid Table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9">
    <w:name w:val="Grid Table 3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0">
    <w:name w:val="Grid Table 3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1">
    <w:name w:val="Grid Table 3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2">
    <w:name w:val="Grid Table 3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3">
    <w:name w:val="Grid Table 3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4">
    <w:name w:val="Grid Table 3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5">
    <w:name w:val="Grid Table 4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66">
    <w:name w:val="Grid Table 4 - Accent 1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67">
    <w:name w:val="Grid Table 4 - Accent 2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68">
    <w:name w:val="Grid Table 4 - Accent 3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69">
    <w:name w:val="Grid Table 4 - Accent 4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70">
    <w:name w:val="Grid Table 4 - Accent 5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71">
    <w:name w:val="Grid Table 4 - Accent 6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72">
    <w:name w:val="Grid Table 5 Dark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73">
    <w:name w:val="Grid Table 5 Dark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74">
    <w:name w:val="Grid Table 5 Dark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75">
    <w:name w:val="Grid Table 5 Dark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76">
    <w:name w:val="Grid Table 5 Dark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77">
    <w:name w:val="Grid Table 5 Dark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78">
    <w:name w:val="Grid Table 5 Dark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79">
    <w:name w:val="Grid Table 6 Colorful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80">
    <w:name w:val="Grid Table 6 Colorful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81">
    <w:name w:val="Grid Table 6 Colorful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82">
    <w:name w:val="Grid Table 6 Colorful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83">
    <w:name w:val="Grid Table 6 Colorful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84">
    <w:name w:val="Grid Table 6 Colorful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5">
    <w:name w:val="Grid Table 6 Colorful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6">
    <w:name w:val="Grid Table 7 Colorful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87">
    <w:name w:val="Grid Table 7 Colorful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88">
    <w:name w:val="Grid Table 7 Colorful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89">
    <w:name w:val="Grid Table 7 Colorful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0">
    <w:name w:val="Grid Table 7 Colorful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91">
    <w:name w:val="Grid Table 7 Colorful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92">
    <w:name w:val="Grid Table 7 Colorful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93">
    <w:name w:val="List Table 1 Light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4">
    <w:name w:val="List Table 1 Light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5">
    <w:name w:val="List Table 1 Light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List Table 1 Light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97">
    <w:name w:val="List Table 1 Light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List Table 1 Light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List Table 1 Light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List Table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01">
    <w:name w:val="List Table 2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02">
    <w:name w:val="List Table 2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03">
    <w:name w:val="List Table 2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04">
    <w:name w:val="List Table 2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05">
    <w:name w:val="List Table 2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06">
    <w:name w:val="List Table 2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07">
    <w:name w:val="List Table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>
    <w:name w:val="List Table 3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>
    <w:name w:val="List Table 3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>
    <w:name w:val="List Table 3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List Table 3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>
    <w:name w:val="List Table 3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>
    <w:name w:val="List Table 3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>
    <w:name w:val="List Table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>
    <w:name w:val="List Table 4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>
    <w:name w:val="List Table 4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>
    <w:name w:val="List Table 4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>
    <w:name w:val="List Table 4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>
    <w:name w:val="List Table 4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>
    <w:name w:val="List Table 4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>
    <w:name w:val="List Table 5 Dark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2">
    <w:name w:val="List Table 5 Dark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3">
    <w:name w:val="List Table 5 Dark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4">
    <w:name w:val="List Table 5 Dark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5">
    <w:name w:val="List Table 5 Dark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6">
    <w:name w:val="List Table 5 Dark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7">
    <w:name w:val="List Table 5 Dark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8">
    <w:name w:val="List Table 6 Colorful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29">
    <w:name w:val="List Table 6 Colorful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30">
    <w:name w:val="List Table 6 Colorful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31">
    <w:name w:val="List Table 6 Colorful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32">
    <w:name w:val="List Table 6 Colorful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33">
    <w:name w:val="List Table 6 Colorful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34">
    <w:name w:val="List Table 6 Colorful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35">
    <w:name w:val="List Table 7 Colorful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36">
    <w:name w:val="List Table 7 Colorful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537">
    <w:name w:val="List Table 7 Colorful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538">
    <w:name w:val="List Table 7 Colorful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539">
    <w:name w:val="List Table 7 Colorful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540">
    <w:name w:val="List Table 7 Colorful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541">
    <w:name w:val="List Table 7 Colorful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542">
    <w:name w:val="Lined - Accent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43">
    <w:name w:val="Lined - Accent 1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4">
    <w:name w:val="Lined - Accent 2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5">
    <w:name w:val="Lined - Accent 3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6">
    <w:name w:val="Lined - Accent 4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47">
    <w:name w:val="Lined - Accent 5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48">
    <w:name w:val="Lined - Accent 6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9">
    <w:name w:val="Bordered &amp; Lined - Accent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50">
    <w:name w:val="Bordered &amp; Lined - Accent 1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51">
    <w:name w:val="Bordered &amp; Lined - Accent 2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52">
    <w:name w:val="Bordered &amp; Lined - Accent 3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53">
    <w:name w:val="Bordered &amp; Lined - Accent 4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54">
    <w:name w:val="Bordered &amp; Lined - Accent 5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55">
    <w:name w:val="Bordered &amp; Lined - Accent 6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56">
    <w:name w:val="Bordered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57">
    <w:name w:val="Bordered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58">
    <w:name w:val="Bordered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59">
    <w:name w:val="Bordered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60">
    <w:name w:val="Bordered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61">
    <w:name w:val="Bordered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62">
    <w:name w:val="Bordered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63">
    <w:name w:val="Footnote Text Char"/>
    <w:link w:val="585"/>
    <w:uiPriority w:val="99"/>
    <w:rPr>
      <w:sz w:val="18"/>
    </w:rPr>
  </w:style>
  <w:style w:type="paragraph" w:styleId="564">
    <w:name w:val="toc 1"/>
    <w:basedOn w:val="574"/>
    <w:next w:val="574"/>
    <w:uiPriority w:val="39"/>
    <w:unhideWhenUsed/>
    <w:pPr>
      <w:ind w:left="0" w:right="0" w:firstLine="0"/>
      <w:spacing w:after="57"/>
    </w:pPr>
  </w:style>
  <w:style w:type="paragraph" w:styleId="565">
    <w:name w:val="toc 2"/>
    <w:basedOn w:val="574"/>
    <w:next w:val="574"/>
    <w:uiPriority w:val="39"/>
    <w:unhideWhenUsed/>
    <w:pPr>
      <w:ind w:left="283" w:right="0" w:firstLine="0"/>
      <w:spacing w:after="57"/>
    </w:pPr>
  </w:style>
  <w:style w:type="paragraph" w:styleId="566">
    <w:name w:val="toc 3"/>
    <w:basedOn w:val="574"/>
    <w:next w:val="574"/>
    <w:uiPriority w:val="39"/>
    <w:unhideWhenUsed/>
    <w:pPr>
      <w:ind w:left="567" w:right="0" w:firstLine="0"/>
      <w:spacing w:after="57"/>
    </w:pPr>
  </w:style>
  <w:style w:type="paragraph" w:styleId="567">
    <w:name w:val="toc 4"/>
    <w:basedOn w:val="574"/>
    <w:next w:val="574"/>
    <w:uiPriority w:val="39"/>
    <w:unhideWhenUsed/>
    <w:pPr>
      <w:ind w:left="850" w:right="0" w:firstLine="0"/>
      <w:spacing w:after="57"/>
    </w:pPr>
  </w:style>
  <w:style w:type="paragraph" w:styleId="568">
    <w:name w:val="toc 5"/>
    <w:basedOn w:val="574"/>
    <w:next w:val="574"/>
    <w:uiPriority w:val="39"/>
    <w:unhideWhenUsed/>
    <w:pPr>
      <w:ind w:left="1134" w:right="0" w:firstLine="0"/>
      <w:spacing w:after="57"/>
    </w:pPr>
  </w:style>
  <w:style w:type="paragraph" w:styleId="569">
    <w:name w:val="toc 6"/>
    <w:basedOn w:val="574"/>
    <w:next w:val="574"/>
    <w:uiPriority w:val="39"/>
    <w:unhideWhenUsed/>
    <w:pPr>
      <w:ind w:left="1417" w:right="0" w:firstLine="0"/>
      <w:spacing w:after="57"/>
    </w:pPr>
  </w:style>
  <w:style w:type="paragraph" w:styleId="570">
    <w:name w:val="toc 7"/>
    <w:basedOn w:val="574"/>
    <w:next w:val="574"/>
    <w:uiPriority w:val="39"/>
    <w:unhideWhenUsed/>
    <w:pPr>
      <w:ind w:left="1701" w:right="0" w:firstLine="0"/>
      <w:spacing w:after="57"/>
    </w:pPr>
  </w:style>
  <w:style w:type="paragraph" w:styleId="571">
    <w:name w:val="toc 8"/>
    <w:basedOn w:val="574"/>
    <w:next w:val="574"/>
    <w:uiPriority w:val="39"/>
    <w:unhideWhenUsed/>
    <w:pPr>
      <w:ind w:left="1984" w:right="0" w:firstLine="0"/>
      <w:spacing w:after="57"/>
    </w:pPr>
  </w:style>
  <w:style w:type="paragraph" w:styleId="572">
    <w:name w:val="toc 9"/>
    <w:basedOn w:val="574"/>
    <w:next w:val="574"/>
    <w:uiPriority w:val="39"/>
    <w:unhideWhenUsed/>
    <w:pPr>
      <w:ind w:left="2268" w:right="0" w:firstLine="0"/>
      <w:spacing w:after="57"/>
    </w:pPr>
  </w:style>
  <w:style w:type="paragraph" w:styleId="573">
    <w:name w:val="TOC Heading"/>
    <w:uiPriority w:val="39"/>
    <w:unhideWhenUsed/>
  </w:style>
  <w:style w:type="paragraph" w:styleId="574" w:default="1">
    <w:name w:val="Normal"/>
    <w:qFormat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575">
    <w:name w:val="Heading 2"/>
    <w:basedOn w:val="574"/>
    <w:link w:val="595"/>
    <w:qFormat/>
    <w:uiPriority w:val="9"/>
    <w:rPr>
      <w:b/>
      <w:bCs/>
      <w:sz w:val="36"/>
      <w:szCs w:val="36"/>
    </w:rPr>
    <w:pPr>
      <w:spacing w:after="100" w:afterAutospacing="1" w:before="100" w:beforeAutospacing="1"/>
      <w:outlineLvl w:val="1"/>
    </w:pPr>
  </w:style>
  <w:style w:type="character" w:styleId="576" w:default="1">
    <w:name w:val="Default Paragraph Font"/>
    <w:uiPriority w:val="1"/>
    <w:semiHidden/>
    <w:unhideWhenUsed/>
  </w:style>
  <w:style w:type="table" w:styleId="5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78" w:default="1">
    <w:name w:val="No List"/>
    <w:uiPriority w:val="99"/>
    <w:semiHidden/>
    <w:unhideWhenUsed/>
  </w:style>
  <w:style w:type="paragraph" w:styleId="579" w:customStyle="1">
    <w:name w:val="ConsPlusNormal"/>
    <w:rPr>
      <w:rFonts w:ascii="Times New Roman" w:hAnsi="Times New Roman" w:cs="Times New Roman" w:eastAsia="Times New Roman"/>
      <w:sz w:val="26"/>
      <w:szCs w:val="26"/>
      <w:lang w:eastAsia="ru-RU"/>
    </w:rPr>
    <w:pPr>
      <w:spacing w:lineRule="auto" w:line="240" w:after="0"/>
    </w:pPr>
  </w:style>
  <w:style w:type="paragraph" w:styleId="580">
    <w:name w:val="Balloon Text"/>
    <w:basedOn w:val="574"/>
    <w:link w:val="58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581" w:customStyle="1">
    <w:name w:val="Текст выноски Знак"/>
    <w:basedOn w:val="576"/>
    <w:link w:val="580"/>
    <w:uiPriority w:val="99"/>
    <w:semiHidden/>
    <w:rPr>
      <w:rFonts w:ascii="Segoe UI" w:hAnsi="Segoe UI" w:cs="Segoe UI" w:eastAsia="Times New Roman"/>
      <w:sz w:val="18"/>
      <w:szCs w:val="18"/>
      <w:lang w:eastAsia="ru-RU"/>
    </w:rPr>
  </w:style>
  <w:style w:type="character" w:styleId="582" w:customStyle="1">
    <w:name w:val="Font Style14"/>
    <w:rPr>
      <w:rFonts w:ascii="Times New Roman" w:hAnsi="Times New Roman" w:cs="Times New Roman"/>
      <w:sz w:val="22"/>
      <w:szCs w:val="22"/>
    </w:rPr>
  </w:style>
  <w:style w:type="character" w:styleId="583">
    <w:name w:val="Hyperlink"/>
    <w:basedOn w:val="576"/>
    <w:uiPriority w:val="99"/>
    <w:unhideWhenUsed/>
    <w:rPr>
      <w:color w:val="0563C1" w:themeColor="hyperlink"/>
      <w:u w:val="single"/>
    </w:rPr>
  </w:style>
  <w:style w:type="paragraph" w:styleId="584">
    <w:name w:val="List Paragraph"/>
    <w:basedOn w:val="574"/>
    <w:qFormat/>
    <w:uiPriority w:val="34"/>
    <w:pPr>
      <w:contextualSpacing w:val="true"/>
      <w:ind w:left="720"/>
    </w:pPr>
  </w:style>
  <w:style w:type="paragraph" w:styleId="585">
    <w:name w:val="footnote text"/>
    <w:basedOn w:val="574"/>
    <w:link w:val="586"/>
    <w:semiHidden/>
    <w:rPr>
      <w:rFonts w:ascii="Arial" w:hAnsi="Arial" w:cs="Arial"/>
      <w:sz w:val="20"/>
      <w:szCs w:val="20"/>
    </w:rPr>
    <w:pPr>
      <w:widowControl w:val="off"/>
    </w:pPr>
  </w:style>
  <w:style w:type="character" w:styleId="586" w:customStyle="1">
    <w:name w:val="Текст сноски Знак"/>
    <w:basedOn w:val="576"/>
    <w:link w:val="585"/>
    <w:semiHidden/>
    <w:rPr>
      <w:rFonts w:ascii="Arial" w:hAnsi="Arial" w:cs="Arial" w:eastAsia="Times New Roman"/>
      <w:sz w:val="20"/>
      <w:szCs w:val="20"/>
      <w:lang w:eastAsia="ru-RU"/>
    </w:rPr>
  </w:style>
  <w:style w:type="character" w:styleId="587">
    <w:name w:val="footnote reference"/>
    <w:semiHidden/>
    <w:rPr>
      <w:vertAlign w:val="superscript"/>
    </w:rPr>
  </w:style>
  <w:style w:type="paragraph" w:styleId="588">
    <w:name w:val="Header"/>
    <w:basedOn w:val="574"/>
    <w:link w:val="58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589" w:customStyle="1">
    <w:name w:val="Верхний колонтитул Знак"/>
    <w:basedOn w:val="576"/>
    <w:link w:val="588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590">
    <w:name w:val="Footer"/>
    <w:basedOn w:val="574"/>
    <w:link w:val="59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591" w:customStyle="1">
    <w:name w:val="Нижний колонтитул Знак"/>
    <w:basedOn w:val="576"/>
    <w:link w:val="590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592">
    <w:name w:val="endnote text"/>
    <w:basedOn w:val="574"/>
    <w:link w:val="593"/>
    <w:uiPriority w:val="99"/>
    <w:semiHidden/>
    <w:unhideWhenUsed/>
    <w:rPr>
      <w:sz w:val="20"/>
      <w:szCs w:val="20"/>
    </w:rPr>
  </w:style>
  <w:style w:type="character" w:styleId="593" w:customStyle="1">
    <w:name w:val="Текст концевой сноски Знак"/>
    <w:basedOn w:val="576"/>
    <w:link w:val="592"/>
    <w:uiPriority w:val="99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character" w:styleId="594">
    <w:name w:val="endnote reference"/>
    <w:basedOn w:val="576"/>
    <w:uiPriority w:val="99"/>
    <w:semiHidden/>
    <w:unhideWhenUsed/>
    <w:rPr>
      <w:vertAlign w:val="superscript"/>
    </w:rPr>
  </w:style>
  <w:style w:type="character" w:styleId="595" w:customStyle="1">
    <w:name w:val="Заголовок 2 Знак"/>
    <w:basedOn w:val="576"/>
    <w:link w:val="575"/>
    <w:uiPriority w:val="9"/>
    <w:rPr>
      <w:rFonts w:ascii="Times New Roman" w:hAnsi="Times New Roman" w:cs="Times New Roman" w:eastAsia="Times New Roman"/>
      <w:b/>
      <w:bCs/>
      <w:sz w:val="36"/>
      <w:szCs w:val="36"/>
      <w:lang w:eastAsia="ru-RU"/>
    </w:rPr>
  </w:style>
  <w:style w:type="table" w:styleId="596" w:customStyle="1">
    <w:name w:val="Сетка таблицы1"/>
    <w:basedOn w:val="577"/>
    <w:next w:val="597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597">
    <w:name w:val="Table Grid"/>
    <w:basedOn w:val="577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revision>131</cp:revision>
  <dcterms:created xsi:type="dcterms:W3CDTF">2017-10-03T07:48:00Z</dcterms:created>
  <dcterms:modified xsi:type="dcterms:W3CDTF">2020-04-10T08:42:57Z</dcterms:modified>
</cp:coreProperties>
</file>