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highlight w:val="yellow"/>
        </w:rPr>
        <w:outlineLvl w:val="1"/>
      </w:pPr>
      <w:r>
        <w:rPr>
          <w:highlight w:val="yellow"/>
        </w:rPr>
      </w:r>
      <w:r>
        <w:rPr>
          <w:highlight w:val="yellow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sz w:val="30"/>
          <w:szCs w:val="30"/>
        </w:rPr>
        <w:outlineLvl w:val="0"/>
      </w:pPr>
      <w:r>
        <w:rPr>
          <w:rFonts w:ascii="PT Astra Serif" w:hAnsi="PT Astra Serif" w:cs="PT Astra Serif" w:eastAsia="PT Astra Serif"/>
          <w:b/>
          <w:bCs/>
          <w:sz w:val="30"/>
          <w:szCs w:val="30"/>
        </w:rPr>
        <w:t xml:space="preserve">ДЕПАРТАМЕНТ ГОСУДАРСТВЕННОГО ЗАКАЗА</w:t>
      </w:r>
      <w:r>
        <w:rPr>
          <w:rFonts w:ascii="PT Astra Serif" w:hAnsi="PT Astra Serif" w:cs="PT Astra Serif" w:eastAsia="PT Astra Serif"/>
          <w:b/>
          <w:bCs/>
          <w:sz w:val="30"/>
          <w:szCs w:val="30"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sz w:val="30"/>
          <w:szCs w:val="30"/>
        </w:rPr>
        <w:outlineLvl w:val="0"/>
      </w:pPr>
      <w:r>
        <w:rPr>
          <w:rFonts w:ascii="PT Astra Serif" w:hAnsi="PT Astra Serif" w:cs="PT Astra Serif" w:eastAsia="PT Astra Serif"/>
          <w:b/>
          <w:bCs/>
          <w:sz w:val="30"/>
          <w:szCs w:val="30"/>
        </w:rPr>
        <w:t xml:space="preserve">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</w:rPr>
      </w:pPr>
      <w:r>
        <w:rPr>
          <w:rFonts w:ascii="PT Astra Serif" w:hAnsi="PT Astra Serif" w:cs="PT Astra Serif" w:eastAsia="PT Astra Serif"/>
          <w:b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</w:rPr>
      </w:pPr>
      <w:r>
        <w:rPr>
          <w:rFonts w:ascii="PT Astra Serif" w:hAnsi="PT Astra Serif" w:cs="PT Astra Serif" w:eastAsia="PT Astra Serif"/>
          <w:b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ПРИКАЗ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__.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__.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2020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                                                                                                                         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№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__-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 внесении изменени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й в приказ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Департамента государственного заказа Томской области от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05.07.20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19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№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11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-п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целях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совершенствования нормативного правового акта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bCs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Внести в приказ Департамента государственного заказа Томской области </w:t>
        <w:br/>
        <w:t xml:space="preserve">от 05.07.2019 № 1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1-п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«Об утверждении типового контракта на выполнение работ по текущему ремонту, типового контракта на выполнение работ по капитальному ремонту, 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типового контракта на выполнение работ по строительству объек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та»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(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Официальный интернет-портал прав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овой информации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(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www.pravo.gov.ru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)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09.07.2019 </w:t>
        <w:br/>
        <w:t xml:space="preserve">№ 7001201907090003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) следующие изменения: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 </w:t>
      </w:r>
      <w:r>
        <w:rPr>
          <w:rFonts w:ascii="PT Astra Serif" w:hAnsi="PT Astra Serif" w:cs="PT Astra Serif" w:eastAsia="PT Astra Serif"/>
          <w:sz w:val="26"/>
        </w:rPr>
        <w:t xml:space="preserve">типовом контракте на выполнение работ по строительству объекта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утвержденном указанным приказом (приложение 3):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раздел 6 изложить в редакции согласно приложению к настоящему приказу;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примечание 1 изложить в следующей редакции: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contextualSpacing w:val="false"/>
        <w:ind w:firstLine="709"/>
        <w:jc w:val="both"/>
        <w:rPr>
          <w:rFonts w:ascii="PT Astra Serif" w:hAnsi="PT Astra Serif" w:cs="PT Astra Serif" w:eastAsia="PT Astra Serif"/>
          <w:sz w:val="26"/>
          <w:szCs w:val="26"/>
          <w:vertAlign w:val="baseli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  <w:vertAlign w:val="superscript"/>
        </w:rPr>
        <w:t xml:space="preserve">1</w:t>
      </w:r>
      <w:r>
        <w:rPr>
          <w:rFonts w:ascii="PT Astra Serif" w:hAnsi="PT Astra Serif" w:cs="PT Astra Serif" w:eastAsia="PT Astra Serif"/>
          <w:bCs/>
          <w:sz w:val="26"/>
          <w:szCs w:val="26"/>
          <w:vertAlign w:val="baseline"/>
        </w:rPr>
        <w:t xml:space="preserve"> Применяется в части, не противоречащей типовым условиям контракта, утвержденным и размещенным в единой информационной системе в сфере закупок федеральным органом исполнительной власти. </w:t>
      </w:r>
      <w:r>
        <w:rPr>
          <w:rFonts w:ascii="PT Astra Serif" w:hAnsi="PT Astra Serif" w:cs="PT Astra Serif" w:eastAsia="PT Astra Serif"/>
          <w:bCs/>
          <w:sz w:val="26"/>
          <w:szCs w:val="26"/>
          <w:vertAlign w:val="baseline"/>
        </w:rPr>
        <w:t xml:space="preserve">При осуществлении закупки товара, поставляемого при выполнении работ по строительству объекта, в Контракте указывается наименование страны происхождения товара.»;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примечание 8 изложить в следующей редакции: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contextualSpacing w:val="false"/>
        <w:ind w:firstLine="709"/>
        <w:jc w:val="both"/>
        <w:tabs>
          <w:tab w:val="left" w:pos="709" w:leader="none"/>
          <w:tab w:val="left" w:pos="992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  <w:vertAlign w:val="superscript"/>
        </w:rPr>
        <w:t xml:space="preserve">8 </w:t>
      </w:r>
      <w:r>
        <w:rPr>
          <w:rFonts w:ascii="PT Astra Serif" w:hAnsi="PT Astra Serif" w:cs="PT Astra Serif" w:eastAsia="PT Astra Serif"/>
          <w:bCs/>
          <w:sz w:val="26"/>
        </w:rPr>
        <w:t xml:space="preserve">Указывается объект строительства.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 случае, если объектом строительства является объект капитального строительства, дополняется словами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«капитального строител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ьства».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contextualSpacing w:val="false"/>
        <w:ind w:firstLine="0"/>
        <w:jc w:val="both"/>
        <w:rPr>
          <w:rFonts w:ascii="PT Astra Serif" w:hAnsi="PT Astra Serif" w:cs="PT Astra Serif" w:eastAsia="PT Astra Serif"/>
          <w:sz w:val="26"/>
          <w:szCs w:val="26"/>
          <w:vertAlign w:val="baseline"/>
        </w:rPr>
      </w:pPr>
      <w:r>
        <w:rPr>
          <w:rFonts w:ascii="PT Astra Serif" w:hAnsi="PT Astra Serif" w:cs="PT Astra Serif" w:eastAsia="PT Astra Serif"/>
          <w:bCs/>
          <w:sz w:val="26"/>
          <w:szCs w:val="26"/>
          <w:vertAlign w:val="baseline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contextualSpacing w:val="false"/>
        <w:ind w:firstLine="709"/>
        <w:jc w:val="both"/>
        <w:rPr>
          <w:rFonts w:ascii="PT Astra Serif" w:hAnsi="PT Astra Serif" w:cs="PT Astra Serif" w:eastAsia="PT Astra Serif"/>
          <w:sz w:val="26"/>
          <w:szCs w:val="26"/>
          <w:vertAlign w:val="baseline"/>
        </w:rPr>
      </w:pPr>
      <w:r>
        <w:rPr>
          <w:rFonts w:ascii="PT Astra Serif" w:hAnsi="PT Astra Serif" w:cs="PT Astra Serif" w:eastAsia="PT Astra Serif"/>
          <w:bCs/>
          <w:sz w:val="26"/>
          <w:szCs w:val="26"/>
          <w:vertAlign w:val="baseline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Начальник департамента                                                                                    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      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Г.В.Гонгина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0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0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Приложение </w:t>
      </w:r>
      <w:r>
        <w:rPr>
          <w:rFonts w:ascii="PT Astra Serif" w:hAnsi="PT Astra Serif" w:cs="PT Astra Serif" w:eastAsia="PT Astra Serif"/>
          <w:sz w:val="26"/>
        </w:rPr>
        <w:t xml:space="preserve">к приказу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Департамента </w:t>
      </w:r>
      <w:r>
        <w:rPr>
          <w:rFonts w:ascii="PT Astra Serif" w:hAnsi="PT Astra Serif" w:cs="PT Astra Serif" w:eastAsia="PT Astra Serif"/>
          <w:sz w:val="26"/>
        </w:rPr>
        <w:t xml:space="preserve">государственного </w:t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заказа </w:t>
      </w:r>
      <w:r>
        <w:rPr>
          <w:rFonts w:ascii="PT Astra Serif" w:hAnsi="PT Astra Serif" w:cs="PT Astra Serif" w:eastAsia="PT Astra Serif"/>
          <w:sz w:val="26"/>
        </w:rPr>
        <w:t xml:space="preserve">Томской области</w:t>
      </w:r>
      <w:r/>
    </w:p>
    <w:p>
      <w:pPr>
        <w:ind w:left="0" w:right="0" w:firstLine="5102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от __.__.2020 № ___ </w:t>
      </w:r>
      <w:r/>
    </w:p>
    <w:p>
      <w:pPr>
        <w:ind w:left="0" w:right="0" w:firstLine="0"/>
        <w:jc w:val="left"/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sz w:val="26"/>
        </w:rPr>
        <w:t xml:space="preserve">«6. ПРИЕМКА ВЫПОЛНЕННЫХ РАБОТ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6.1. Подрядчик не позднее, чем за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[3 (три)]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1"/>
      </w:r>
      <w:r>
        <w:rPr>
          <w:rFonts w:ascii="PT Astra Serif" w:hAnsi="PT Astra Serif" w:cs="PT Astra Serif" w:eastAsia="PT Astra Serif"/>
          <w:i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рабочих дня до начала приемки (в том числе промежуточной) выполненных работ </w:t>
      </w:r>
      <w:r>
        <w:rPr>
          <w:rFonts w:ascii="PT Astra Serif" w:hAnsi="PT Astra Serif" w:cs="PT Astra Serif" w:eastAsia="PT Astra Serif"/>
          <w:sz w:val="26"/>
        </w:rPr>
        <w:t xml:space="preserve">(результата выполненных работ)</w:t>
      </w:r>
      <w:r>
        <w:rPr>
          <w:rFonts w:ascii="PT Astra Serif" w:hAnsi="PT Astra Serif" w:cs="PT Astra Serif" w:eastAsia="PT Astra Serif"/>
          <w:sz w:val="26"/>
        </w:rPr>
        <w:t xml:space="preserve"> должен письменно известить Зак</w:t>
      </w:r>
      <w:r>
        <w:rPr>
          <w:rFonts w:ascii="PT Astra Serif" w:hAnsi="PT Astra Serif" w:cs="PT Astra Serif" w:eastAsia="PT Astra Serif"/>
          <w:sz w:val="26"/>
        </w:rPr>
        <w:t xml:space="preserve">азч</w:t>
      </w:r>
      <w:r>
        <w:rPr>
          <w:rFonts w:ascii="PT Astra Serif" w:hAnsi="PT Astra Serif" w:cs="PT Astra Serif" w:eastAsia="PT Astra Serif"/>
          <w:sz w:val="26"/>
        </w:rPr>
        <w:t xml:space="preserve">ика о точной дате и времени передачи выполненных работ* </w:t>
      </w:r>
      <w:r>
        <w:rPr>
          <w:rFonts w:ascii="PT Astra Serif" w:hAnsi="PT Astra Serif" w:cs="PT Astra Serif" w:eastAsia="PT Astra Serif"/>
          <w:sz w:val="26"/>
        </w:rPr>
        <w:t xml:space="preserve">(результата выполненных работ)</w:t>
      </w:r>
      <w:r>
        <w:rPr>
          <w:rFonts w:ascii="PT Astra Serif" w:hAnsi="PT Astra Serif" w:cs="PT Astra Serif" w:eastAsia="PT Astra Serif"/>
          <w:sz w:val="26"/>
        </w:rPr>
        <w:t xml:space="preserve">. До передачи Заказчику выполненных работ* </w:t>
      </w:r>
      <w:r>
        <w:rPr>
          <w:rFonts w:ascii="PT Astra Serif" w:hAnsi="PT Astra Serif" w:cs="PT Astra Serif" w:eastAsia="PT Astra Serif"/>
          <w:sz w:val="26"/>
        </w:rPr>
        <w:t xml:space="preserve">(результата выполненных работ)</w:t>
      </w:r>
      <w:r>
        <w:rPr>
          <w:rFonts w:ascii="PT Astra Serif" w:hAnsi="PT Astra Serif" w:cs="PT Astra Serif" w:eastAsia="PT Astra Serif"/>
          <w:sz w:val="26"/>
        </w:rPr>
        <w:t xml:space="preserve"> Подрядчик передает Заказчику ___ экземпляра исполнительной документации в составе, определенном законодательством Российской Федерации</w:t>
      </w:r>
      <w:r>
        <w:rPr>
          <w:rStyle w:val="837"/>
          <w:rFonts w:ascii="PT Astra Serif" w:hAnsi="PT Astra Serif" w:cs="PT Astra Serif" w:eastAsia="PT Astra Serif"/>
          <w:sz w:val="26"/>
        </w:rPr>
        <w:footnoteReference w:id="2"/>
      </w:r>
      <w:r>
        <w:rPr>
          <w:rFonts w:ascii="PT Astra Serif" w:hAnsi="PT Astra Serif" w:cs="PT Astra Serif" w:eastAsia="PT Astra Serif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i w:val="false"/>
          <w:sz w:val="26"/>
        </w:rPr>
      </w:pPr>
      <w:r>
        <w:rPr>
          <w:rFonts w:ascii="PT Astra Serif" w:hAnsi="PT Astra Serif" w:cs="PT Astra Serif" w:eastAsia="PT Astra Serif"/>
          <w:i w:val="false"/>
          <w:sz w:val="26"/>
        </w:rPr>
        <w:t xml:space="preserve">6.2. Приемка отдельных видов и объемов выполненных работ осуществляется Заказчиком на основании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[акта о приемке выполненных работ по форме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№ КС-2, справки о стоимости выполненных работ и затрат по форме № КС-3]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3"/>
      </w:r>
      <w:r>
        <w:rPr>
          <w:rFonts w:ascii="PT Astra Serif" w:hAnsi="PT Astra Serif" w:cs="PT Astra Serif" w:eastAsia="PT Astra Serif"/>
          <w:i w:val="false"/>
          <w:sz w:val="26"/>
        </w:rPr>
        <w:t xml:space="preserve"> и исполнительной документации на выполненные виды и объемы работ в течение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[10 (десяти)]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4"/>
      </w:r>
      <w:r>
        <w:rPr>
          <w:rFonts w:ascii="PT Astra Serif" w:hAnsi="PT Astra Serif" w:cs="PT Astra Serif" w:eastAsia="PT Astra Serif"/>
          <w:i w:val="false"/>
          <w:sz w:val="26"/>
        </w:rPr>
        <w:t xml:space="preserve"> рабочих</w:t>
      </w:r>
      <w:r>
        <w:rPr>
          <w:rFonts w:ascii="PT Astra Serif" w:hAnsi="PT Astra Serif" w:cs="PT Astra Serif" w:eastAsia="PT Astra Serif"/>
          <w:i w:val="false"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дней</w:t>
      </w:r>
      <w:r>
        <w:rPr>
          <w:rFonts w:ascii="PT Astra Serif" w:hAnsi="PT Astra Serif" w:cs="PT Astra Serif" w:eastAsia="PT Astra Serif"/>
          <w:i w:val="false"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со дня, указанного в письменном извещении Подрядчика о передаче результата выполненных работ*.</w:t>
      </w:r>
      <w:r>
        <w:rPr>
          <w:rFonts w:ascii="PT Astra Serif" w:hAnsi="PT Astra Serif" w:cs="PT Astra Serif" w:eastAsia="PT Astra Serif"/>
          <w:i w:val="false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i w:val="false"/>
          <w:sz w:val="26"/>
        </w:rPr>
      </w:pPr>
      <w:r>
        <w:rPr>
          <w:rFonts w:ascii="PT Astra Serif" w:hAnsi="PT Astra Serif" w:cs="PT Astra Serif" w:eastAsia="PT Astra Serif"/>
          <w:i w:val="false"/>
          <w:sz w:val="26"/>
        </w:rPr>
        <w:t xml:space="preserve">Подписание Сторонами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[актов о приемке выполненных работ по форме № КС-2 и справок о стоимости выполненных работ и затрат по форме № КС-3]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5"/>
      </w:r>
      <w:r>
        <w:rPr>
          <w:rFonts w:ascii="PT Astra Serif" w:hAnsi="PT Astra Serif" w:cs="PT Astra Serif" w:eastAsia="PT Astra Serif"/>
          <w:i w:val="false"/>
          <w:sz w:val="26"/>
        </w:rPr>
        <w:t xml:space="preserve"> не означает приемку Заказчиком готового объекта и переход к Заказчику прав на результат выполненных работ и рисков его (их) случайной гибели, порчи или повреждения.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Промежуточная приемка отдельных видов и объемов выполненных работ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не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снимает с Подрядчика ответственности за сохранность данных работ до дня приемки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результата выполненных работ.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Подрядчик должен за свой счет обеспечить поддержание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промежуточного результата в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ыпол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ненных работ в том же состоянии что и на дату промежуточной приемки.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Результатом выполненной работы по Контракту является: ______________.</w:t>
      </w:r>
      <w:r>
        <w:rPr>
          <w:rStyle w:val="837"/>
          <w:rFonts w:ascii="PT Astra Serif" w:hAnsi="PT Astra Serif" w:cs="PT Astra Serif" w:eastAsia="PT Astra Serif"/>
          <w:sz w:val="26"/>
        </w:rPr>
        <w:footnoteReference w:id="6"/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i w:val="false"/>
          <w:sz w:val="26"/>
        </w:rPr>
      </w:pPr>
      <w:r>
        <w:rPr>
          <w:rFonts w:ascii="PT Astra Serif" w:hAnsi="PT Astra Serif" w:cs="PT Astra Serif" w:eastAsia="PT Astra Serif"/>
          <w:i w:val="false"/>
          <w:sz w:val="26"/>
        </w:rPr>
        <w:t xml:space="preserve">Приемка готового объекта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(результата выполненных работ)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осуществляется Заказчиком после завершения выполнения работ в полном объеме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по акту приемки законченного строительством объекта по форме № КС-11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[, иных документов________]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на основании исполнительной документации в течение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[10 (десяти)]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7"/>
      </w:r>
      <w:r>
        <w:rPr>
          <w:rFonts w:ascii="PT Astra Serif" w:hAnsi="PT Astra Serif" w:cs="PT Astra Serif" w:eastAsia="PT Astra Serif"/>
          <w:i w:val="false"/>
          <w:sz w:val="26"/>
        </w:rPr>
        <w:t xml:space="preserve"> рабочих дней со дня, указанного в письменном извещении Подрядчика о передаче результата выполненных работ.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i w:val="false"/>
          <w:sz w:val="26"/>
        </w:rPr>
      </w:pPr>
      <w:r>
        <w:rPr>
          <w:rFonts w:ascii="PT Astra Serif" w:hAnsi="PT Astra Serif" w:cs="PT Astra Serif" w:eastAsia="PT Astra Serif"/>
          <w:i w:val="false"/>
          <w:iCs/>
          <w:sz w:val="26"/>
        </w:rPr>
        <w:t xml:space="preserve">[Приемке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результата выполненных работ</w:t>
      </w:r>
      <w:r>
        <w:rPr>
          <w:rFonts w:ascii="PT Astra Serif" w:hAnsi="PT Astra Serif" w:cs="PT Astra Serif" w:eastAsia="PT Astra Serif"/>
          <w:i w:val="false"/>
          <w:iCs/>
          <w:sz w:val="26"/>
        </w:rPr>
        <w:t xml:space="preserve"> должны предшествовать предварительные испытания.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Приемка результата выполненных работ может осуществляться только при положительном результате предварительных испытаний.]</w:t>
      </w:r>
      <w:r>
        <w:rPr>
          <w:rStyle w:val="837"/>
          <w:rFonts w:ascii="PT Astra Serif" w:hAnsi="PT Astra Serif" w:cs="PT Astra Serif" w:eastAsia="PT Astra Serif"/>
          <w:i w:val="false"/>
          <w:sz w:val="26"/>
        </w:rPr>
        <w:footnoteReference w:id="8"/>
      </w:r>
      <w:r>
        <w:rPr>
          <w:rFonts w:ascii="PT Astra Serif" w:hAnsi="PT Astra Serif" w:cs="PT Astra Serif" w:eastAsia="PT Astra Serif"/>
          <w:i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6.3. Для проверки выполненных работ* в части соответствия условиям Контракта Заказчик в соответствии с Федеральным законом от 5 апреля</w:t>
      </w:r>
      <w:r>
        <w:rPr>
          <w:rFonts w:ascii="PT Astra Serif" w:hAnsi="PT Astra Serif" w:cs="PT Astra Serif" w:eastAsia="PT Astra Serif"/>
          <w:sz w:val="26"/>
        </w:rPr>
        <w:t xml:space="preserve"> 2013 года № 44-ФЗ «О контрактной системе в сфере закупок товаров, работ, услуг для обеспечения государственных и муниципальных нужд» проводит экспертизу. Экспертиза проводится Заказчиком своими силами или с привлечением экспертов, экспертных организаций.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vertAlign w:val="superscript"/>
        </w:rPr>
      </w:pPr>
      <w:r>
        <w:rPr>
          <w:rFonts w:ascii="PT Astra Serif" w:hAnsi="PT Astra Serif" w:cs="PT Astra Serif" w:eastAsia="PT Astra Serif"/>
          <w:sz w:val="26"/>
        </w:rPr>
        <w:t xml:space="preserve">Для проведения экспертизы выполненных работ* эксперты, экспертные организации имеют право запрашивать у Подрядчика дополнительные материалы, относящиеся к </w:t>
      </w:r>
      <w:r>
        <w:rPr>
          <w:rFonts w:ascii="PT Astra Serif" w:hAnsi="PT Astra Serif" w:cs="PT Astra Serif" w:eastAsia="PT Astra Serif"/>
          <w:sz w:val="26"/>
        </w:rPr>
        <w:t xml:space="preserve">условиям исполнения Контракта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[и отдельным этапам исполнения Контракта]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9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.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Срок представления Подрядчиком дополнительных материалов составляет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[3 (три)]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0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рабочих</w:t>
      </w:r>
      <w:r>
        <w:rPr>
          <w:rFonts w:ascii="PT Astra Serif" w:hAnsi="PT Astra Serif" w:cs="PT Astra Serif" w:eastAsia="PT Astra Serif"/>
          <w:i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дня</w:t>
      </w:r>
      <w:r>
        <w:rPr>
          <w:rFonts w:ascii="PT Astra Serif" w:hAnsi="PT Astra Serif" w:cs="PT Astra Serif" w:eastAsia="PT Astra Serif"/>
          <w:i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с даты направления запроса. При нарушении Подрядчиком срока представления дополнительных материалов срок приемки выполненных работ*, предусмотренный пунктом 6.2 Контракта, увеличивается на количество дней просрочки.</w:t>
      </w:r>
      <w:r>
        <w:rPr>
          <w:rFonts w:ascii="PT Astra Serif" w:hAnsi="PT Astra Serif" w:cs="PT Astra Serif" w:eastAsia="PT Astra Serif"/>
          <w:sz w:val="26"/>
          <w:vertAlign w:val="superscript"/>
        </w:rPr>
        <w:footnoteReference w:id="11"/>
        <w:t xml:space="preserve"> 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</w:pPr>
      <w:r>
        <w:rPr>
          <w:rFonts w:ascii="PT Astra Serif" w:hAnsi="PT Astra Serif" w:cs="PT Astra Serif" w:eastAsia="PT Astra Serif"/>
          <w:sz w:val="26"/>
          <w:vertAlign w:val="superscript"/>
        </w:rPr>
      </w:r>
      <w:r>
        <w:rPr>
          <w:rFonts w:ascii="PT Astra Serif" w:hAnsi="PT Astra Serif" w:cs="PT Astra Serif" w:eastAsia="PT Astra Serif"/>
          <w:sz w:val="26"/>
        </w:rPr>
        <w:t xml:space="preserve">6.4. В случае если выполненные работы* (результат выполненных работ) в полной мере соответствует условиям Контракта, Заказчик принимает выполненные работы*</w:t>
      </w:r>
      <w:r>
        <w:rPr>
          <w:rFonts w:ascii="PT Astra Serif" w:hAnsi="PT Astra Serif" w:cs="PT Astra Serif" w:eastAsia="PT Astra Serif"/>
          <w:sz w:val="26"/>
        </w:rPr>
        <w:t xml:space="preserve"> (результат выполненных работ)</w:t>
      </w:r>
      <w:r>
        <w:rPr>
          <w:rFonts w:ascii="PT Astra Serif" w:hAnsi="PT Astra Serif" w:cs="PT Astra Serif" w:eastAsia="PT Astra Serif"/>
          <w:sz w:val="26"/>
        </w:rPr>
        <w:t xml:space="preserve"> и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подписывает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[акт о приемке выполненных работ по форме № КС-2, акт приемки законченного строительством объекта по форме № КС-11]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2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в течение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[5 (пяти)]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3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рабочих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дней со дня окончания приемки.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</w:pP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Подписание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акта приемки законченного строительством объекта по форме </w:t>
        <w:br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№ КС-11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sz w:val="26"/>
        </w:rPr>
        <w:t xml:space="preserve">[, иных документов________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4"/>
      </w:r>
      <w:r>
        <w:rPr>
          <w:rFonts w:ascii="PT Astra Serif" w:hAnsi="PT Astra Serif" w:cs="PT Astra Serif" w:eastAsia="PT Astra Serif"/>
          <w:i w:val="false"/>
          <w:sz w:val="26"/>
        </w:rPr>
        <w:t xml:space="preserve">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(за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исключением отдельного этапа исполнения контракта)]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5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не осуществляется до предоставления Подрядчиком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обеспечения гарантийных обязательств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.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6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i w:val="false"/>
          <w:color w:val="000000"/>
          <w:sz w:val="26"/>
        </w:rPr>
      </w:pP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</w:r>
      <w:r>
        <w:rPr>
          <w:rFonts w:ascii="PT Astra Serif" w:hAnsi="PT Astra Serif" w:cs="PT Astra Serif" w:eastAsia="PT Astra Serif"/>
          <w:sz w:val="26"/>
        </w:rPr>
        <w:t xml:space="preserve">6.5. В случае, если выполненные работы*</w:t>
      </w:r>
      <w:r>
        <w:rPr>
          <w:rFonts w:ascii="PT Astra Serif" w:hAnsi="PT Astra Serif" w:cs="PT Astra Serif" w:eastAsia="PT Astra Serif"/>
          <w:color w:val="000000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содержат отклонения от условий Контракта (недостатки),</w:t>
      </w:r>
      <w:r>
        <w:rPr>
          <w:rFonts w:ascii="PT Astra Serif" w:hAnsi="PT Astra Serif" w:cs="PT Astra Serif" w:eastAsia="PT Astra Serif"/>
          <w:sz w:val="26"/>
        </w:rPr>
        <w:t xml:space="preserve"> Заказчик составляет перечень замечаний </w:t>
      </w:r>
      <w:r>
        <w:rPr>
          <w:rFonts w:ascii="PT Astra Serif" w:hAnsi="PT Astra Serif" w:cs="PT Astra Serif" w:eastAsia="PT Astra Serif"/>
          <w:sz w:val="26"/>
        </w:rPr>
        <w:t xml:space="preserve">и в срок не позднее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br/>
        <w:t xml:space="preserve">[5 (пяти)]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7"/>
      </w:r>
      <w:r>
        <w:rPr>
          <w:rFonts w:ascii="PT Astra Serif" w:hAnsi="PT Astra Serif" w:cs="PT Astra Serif" w:eastAsia="PT Astra Serif"/>
          <w:sz w:val="26"/>
        </w:rPr>
        <w:t xml:space="preserve"> рабочих дней со дня обнаружения недостатков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направляет мотивированный отказ от подписания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[акта о приемке выполненных работ по форме № КС-2, акт приемки законченного строительством объекта по форме № КС-11]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8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(извещение о выявленных недостатках) с указанием сроков по устранению недостатков.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Извещение о выявленных недостатках направляется Подрядчику в письменной форме.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Подрядчик обязан устранить недостатки за свой счет в срок, указанный Заказчиком в извещении.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i w:val="false"/>
          <w:color w:val="000000"/>
          <w:sz w:val="26"/>
        </w:rPr>
      </w:pP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Заказчик не подписывает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[акт о приемке выполненных работ по форме № КС-2, акт приемки законченного строительством объекта по форме № КС-11]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19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до устранения Подрядчиком выявленных недостатков.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6.6. Заказчик вправ</w:t>
      </w:r>
      <w:r>
        <w:rPr>
          <w:rFonts w:ascii="PT Astra Serif" w:hAnsi="PT Astra Serif" w:cs="PT Astra Serif" w:eastAsia="PT Astra Serif"/>
          <w:sz w:val="26"/>
        </w:rPr>
        <w:t xml:space="preserve">е вместо безвозмездного устранения Подрядчиком недостатков привлечь для их устранения третьих лиц или устранить недостатки своими силами, потребовав от Подрядчика возмещения своих расходов, связанных с устранением недостатков.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6.7. Если недос</w:t>
      </w:r>
      <w:r>
        <w:rPr>
          <w:rFonts w:ascii="PT Astra Serif" w:hAnsi="PT Astra Serif" w:cs="PT Astra Serif" w:eastAsia="PT Astra Serif"/>
          <w:sz w:val="26"/>
        </w:rPr>
        <w:t xml:space="preserve">татки в установленный Заказчиком срок не были устранены Подрядчиком, либо являются существенными и неустранимыми, Заказчик вправе отказаться от исполнения обязательств по Контракту и потребовать возмещения причиненных убытков.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6.8. При возникновении между Заказчиком и Подрядчиком спора по поводу недостатков или их причин, по требованию любой из Сторон должна быть назначена экспертиза.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Расходы по проведению экспертизы несет Подрядчик, за исключением случаев, когда экспертизой установлено отсутствие нарушений Подрядчиком условий</w:t>
      </w:r>
      <w:r>
        <w:rPr>
          <w:rFonts w:ascii="PT Astra Serif" w:hAnsi="PT Astra Serif" w:cs="PT Astra Serif" w:eastAsia="PT Astra Serif"/>
          <w:sz w:val="26"/>
        </w:rPr>
        <w:t xml:space="preserve"> Контракта или причинной связи между действиями Подрядчика и обнаруженными недостатками. В указанных случаях расходы на экспертизу несет Сторона, потребовавшая назначения экспертизы, а если она назначена по соглашению между Сторонами - обе Стороны поровну.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6.9. Особенности приемки скрытых работ: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6.9.1. Выполненные работы, полностью или частично скрыва</w:t>
      </w:r>
      <w:r>
        <w:rPr>
          <w:rFonts w:ascii="PT Astra Serif" w:hAnsi="PT Astra Serif" w:cs="PT Astra Serif" w:eastAsia="PT Astra Serif"/>
          <w:sz w:val="26"/>
        </w:rPr>
        <w:t xml:space="preserve">емые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(далее – скрытые работы) подлежат приемке Заказчиком перед производством последующих работ.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Подрядчик обязан письменно, не позднее, чем за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[3 (три)]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20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рабочих</w:t>
      </w:r>
      <w:r>
        <w:rPr>
          <w:rFonts w:ascii="PT Astra Serif" w:hAnsi="PT Astra Serif" w:cs="PT Astra Serif" w:eastAsia="PT Astra Serif"/>
          <w:i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дня</w:t>
      </w:r>
      <w:r>
        <w:rPr>
          <w:rFonts w:ascii="PT Astra Serif" w:hAnsi="PT Astra Serif" w:cs="PT Astra Serif" w:eastAsia="PT Astra Serif"/>
          <w:i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до начала приемки </w:t>
      </w:r>
      <w:r>
        <w:rPr>
          <w:rFonts w:ascii="PT Astra Serif" w:hAnsi="PT Astra Serif" w:cs="PT Astra Serif" w:eastAsia="PT Astra Serif"/>
          <w:sz w:val="26"/>
        </w:rPr>
        <w:t xml:space="preserve">срытых работ, уведомить Заказчика о необходимости проведения приемки выполненных работ, подлежащих закрытию, с указанием даты приемки скрытых работ.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6.9.2. По результатам приемки скрытых работ Стороны подписывают акт освидетельствования скрытых работ.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6.9.3. В случае если работы, подлежащие закрытию, содержат отклонения </w:t>
        <w:br/>
        <w:t xml:space="preserve">от условий Контракта (недостатки), Заказчик составляет перечень замечаний к выполненным работам и извещает Подрядчика о недостатках в срок не позднее </w:t>
        <w:br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[5 (пяти)]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  <w:vertAlign w:val="superscript"/>
        </w:rPr>
        <w:footnoteReference w:id="21"/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рабочих</w:t>
      </w:r>
      <w:r>
        <w:rPr>
          <w:rFonts w:ascii="PT Astra Serif" w:hAnsi="PT Astra Serif" w:cs="PT Astra Serif" w:eastAsia="PT Astra Serif"/>
          <w:i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дней со дня их обнаружения. 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Извещение о выявленных недостатках</w:t>
      </w:r>
      <w:r>
        <w:rPr>
          <w:rFonts w:ascii="PT Astra Serif" w:hAnsi="PT Astra Serif" w:cs="PT Astra Serif" w:eastAsia="PT Astra Serif"/>
          <w:sz w:val="26"/>
        </w:rPr>
        <w:t xml:space="preserve"> направляется в поряд</w:t>
      </w:r>
      <w:r>
        <w:rPr>
          <w:rFonts w:ascii="PT Astra Serif" w:hAnsi="PT Astra Serif" w:cs="PT Astra Serif" w:eastAsia="PT Astra Serif"/>
          <w:sz w:val="26"/>
        </w:rPr>
        <w:t xml:space="preserve">ке, указанном в пункте 6.5 Контракта. При наличии документального обоснования по согласованию с Заказчиком срок, указанный в извещении, может быть продлен.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Подрядчик обязан за свой счет и своими силами и (или) с привлечением третьих лиц в срок, установленный в извещении, переделать указанные работы согласно проектной документации </w:t>
      </w:r>
      <w:r>
        <w:rPr>
          <w:rFonts w:ascii="PT Astra Serif" w:hAnsi="PT Astra Serif" w:cs="PT Astra Serif" w:eastAsia="PT Astra Serif"/>
          <w:i w:val="false"/>
          <w:color w:val="000000" w:themeColor="text1"/>
          <w:sz w:val="26"/>
        </w:rPr>
        <w:t xml:space="preserve">[, иным документам________]</w:t>
      </w:r>
      <w:r>
        <w:rPr>
          <w:rFonts w:ascii="PT Astra Serif" w:hAnsi="PT Astra Serif" w:cs="PT Astra Serif" w:eastAsia="PT Astra Serif"/>
          <w:sz w:val="26"/>
        </w:rPr>
        <w:t xml:space="preserve"> (Приложение 1 к Контракту), строительным нормам и правилам и повторно предъявить их к приемке Заказчику.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6.9.4. Подрядчик приступает к выполнению последующих работ только после подписания актов освидетельствования скрытых работ Заказчиком без замечаний и внесения записи в журнал производства работ.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В случае если закрытие работ произведено без надлежащего уведомления Заказчика и подписания Заказчиком </w:t>
      </w:r>
      <w:r>
        <w:rPr>
          <w:rFonts w:ascii="PT Astra Serif" w:hAnsi="PT Astra Serif" w:cs="PT Astra Serif" w:eastAsia="PT Astra Serif"/>
          <w:sz w:val="26"/>
        </w:rPr>
        <w:t xml:space="preserve">а</w:t>
      </w:r>
      <w:r>
        <w:rPr>
          <w:rFonts w:ascii="PT Astra Serif" w:hAnsi="PT Astra Serif" w:cs="PT Astra Serif" w:eastAsia="PT Astra Serif"/>
          <w:sz w:val="26"/>
        </w:rPr>
        <w:t xml:space="preserve">ктов освидетельствования скрытых работ, Заказчик в период действия Контракта и гарантийного срока имеет право потребовать проведения работ по вскрытию, а Подрядчик обязан вскрыть работы и переделать работы в порядке, установленном пунктом 6.9.3 Контракта.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709"/>
        <w:jc w:val="both"/>
        <w:keepNext/>
        <w:widowControl w:val="off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6.10. Заказчик, обнаруживший после приемки выполненных работ* отступления </w:t>
        <w:br/>
        <w:t xml:space="preserve">от условий Контракта, которые не могли быть установлены при обычном способе приемки (скрытые недостатки)</w:t>
      </w:r>
      <w:r>
        <w:rPr>
          <w:rFonts w:ascii="PT Astra Serif" w:hAnsi="PT Astra Serif" w:cs="PT Astra Serif" w:eastAsia="PT Astra Serif"/>
          <w:sz w:val="26"/>
        </w:rPr>
        <w:t xml:space="preserve">, в том числе, такие, которые были умышленно скрыты Подрядчиком, обязан известить об этом Подрядчика в письменной форме. Подрядчик обязуется устранить выявленные недостатки в срок, указанный в извещении. Извещение направляется в порядке, указанном в пункте</w:t>
      </w:r>
      <w:r>
        <w:rPr>
          <w:rFonts w:ascii="PT Astra Serif" w:hAnsi="PT Astra Serif" w:cs="PT Astra Serif" w:eastAsia="PT Astra Serif"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6.5</w:t>
      </w:r>
      <w:r>
        <w:rPr>
          <w:rFonts w:ascii="PT Astra Serif" w:hAnsi="PT Astra Serif" w:cs="PT Astra Serif" w:eastAsia="PT Astra Serif"/>
          <w:color w:val="0000F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Контракта.</w:t>
      </w:r>
      <w:r>
        <w:rPr>
          <w:rFonts w:ascii="PT Astra Serif" w:hAnsi="PT Astra Serif" w:cs="PT Astra Serif" w:eastAsia="PT Astra Serif"/>
          <w:sz w:val="26"/>
        </w:rPr>
        <w:t xml:space="preserve">».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tabs>
          <w:tab w:val="left" w:pos="1021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sectPr>
      <w:headerReference w:type="default" r:id="rId8"/>
      <w:headerReference w:type="first" r:id="rId9"/>
      <w:footnotePr>
        <w:numFmt w:val="decimal"/>
        <w:numRestart w:val="continuous"/>
        <w:numStart w:val="46"/>
        <w:pos w:val="pageBottom"/>
      </w:footnotePr>
      <w:type w:val="nextPage"/>
      <w:pgSz w:w="11906" w:h="16838" w:orient="portrait"/>
      <w:pgMar w:top="1134" w:right="567" w:bottom="1134" w:left="1134" w:header="709" w:footer="709"/>
      <w:pgNumType w:start="1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00506000000020000"/>
  </w:font>
  <w:font w:name="PT Astra Serif">
    <w:panose1 w:val="020A0603040505020204"/>
  </w:font>
  <w:font w:name="Segoe UI">
    <w:panose1 w:val="020B0503020203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1">
    <w:p>
      <w:pPr>
        <w:pStyle w:val="835"/>
        <w:ind w:left="0" w:right="0" w:firstLine="709"/>
        <w:rPr>
          <w:rFonts w:ascii="PT Astra Serif" w:hAnsi="PT Astra Serif" w:cs="PT Astra Serif" w:eastAsia="PT Astra Serif"/>
        </w:rPr>
      </w:pPr>
      <w:r>
        <w:rPr>
          <w:rStyle w:val="837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Условие может изменяться при необходимости.</w:t>
      </w:r>
      <w:r>
        <w:rPr>
          <w:rFonts w:ascii="PT Astra Serif" w:hAnsi="PT Astra Serif" w:cs="PT Astra Serif" w:eastAsia="PT Astra Serif"/>
        </w:rPr>
      </w:r>
      <w:r/>
    </w:p>
  </w:footnote>
  <w:footnote w:id="2">
    <w:p>
      <w:pPr>
        <w:pStyle w:val="835"/>
        <w:ind w:firstLine="709"/>
        <w:jc w:val="both"/>
      </w:pPr>
      <w:r>
        <w:rPr>
          <w:rStyle w:val="837"/>
          <w:rFonts w:ascii="Times New Roman" w:hAnsi="Times New Roman" w:cs="Times New Roman" w:eastAsia="Batang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Исполнительная документация должна быть сброшюрована и содержать опись входящих в ее состав документов.</w:t>
      </w:r>
      <w:r/>
    </w:p>
  </w:footnote>
  <w:footnote w:id="3">
    <w:p>
      <w:pPr>
        <w:pStyle w:val="835"/>
        <w:ind w:left="709"/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Могут предусматриваться иные документы.</w:t>
      </w:r>
      <w:r/>
    </w:p>
  </w:footnote>
  <w:footnote w:id="4">
    <w:p>
      <w:pPr>
        <w:pStyle w:val="835"/>
        <w:ind w:left="851" w:hanging="142"/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Условие может изменяться при необходимости.</w:t>
      </w:r>
      <w:r/>
    </w:p>
  </w:footnote>
  <w:footnote w:id="5">
    <w:p>
      <w:pPr>
        <w:pStyle w:val="835"/>
        <w:ind w:left="851" w:hanging="142"/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Могут предусматриваться иные документы.</w:t>
      </w:r>
      <w:r/>
    </w:p>
  </w:footnote>
  <w:footnote w:id="6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Если предметом Контракта является строительство объекта капитального строительства, в пункте указ</w:t>
      </w:r>
      <w:r>
        <w:rPr>
          <w:rFonts w:ascii="Times New Roman" w:hAnsi="Times New Roman" w:cs="Times New Roman" w:eastAsia="Batang"/>
        </w:rPr>
        <w:t xml:space="preserve">ывается, что результатом выполненной работы по Контракту является построенный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объекта капитального строите</w:t>
      </w:r>
      <w:r>
        <w:rPr>
          <w:rFonts w:ascii="Times New Roman" w:hAnsi="Times New Roman" w:cs="Times New Roman" w:eastAsia="Batang"/>
        </w:rPr>
        <w:t xml:space="preserve">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 В случаях, предусм</w:t>
      </w:r>
      <w:r>
        <w:rPr>
          <w:rFonts w:ascii="Times New Roman" w:hAnsi="Times New Roman" w:cs="Times New Roman" w:eastAsia="Batang"/>
        </w:rPr>
        <w:t xml:space="preserve">отренных частью 7 статьи 54 Градостроительного кодекса Российской Федерации, в результат выполненных работ включается также получение в отношении объекта капитального строительства заключения федерального государственного экологического надзора (статья 110</w:t>
      </w:r>
      <w:r>
        <w:rPr>
          <w:rFonts w:ascii="Times New Roman" w:hAnsi="Times New Roman" w:cs="Times New Roman" w:eastAsia="Batang"/>
          <w:vertAlign w:val="superscript"/>
        </w:rPr>
        <w:t xml:space="preserve">2</w:t>
      </w:r>
      <w:r>
        <w:rPr>
          <w:rFonts w:ascii="Times New Roman" w:hAnsi="Times New Roman" w:cs="Times New Roman" w:eastAsia="Batang"/>
        </w:rPr>
        <w:t xml:space="preserve"> Закона № 44</w:t>
      </w:r>
      <w:r>
        <w:rPr>
          <w:rFonts w:ascii="Times New Roman" w:hAnsi="Times New Roman" w:cs="Times New Roman" w:eastAsia="Batang"/>
        </w:rPr>
        <w:t xml:space="preserve">-ФЗ).</w:t>
      </w:r>
      <w:r/>
    </w:p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Fonts w:ascii="Times New Roman" w:hAnsi="Times New Roman" w:cs="Times New Roman" w:eastAsia="Batang"/>
        </w:rPr>
      </w:r>
      <w:r>
        <w:rPr>
          <w:rFonts w:ascii="Times New Roman" w:hAnsi="Times New Roman" w:cs="Times New Roman" w:eastAsia="Batang"/>
        </w:rPr>
        <w:t xml:space="preserve"> Если предметом Контракта </w:t>
      </w:r>
      <w:r>
        <w:rPr>
          <w:rFonts w:ascii="Times New Roman" w:hAnsi="Times New Roman" w:cs="Times New Roman" w:eastAsia="Batang"/>
        </w:rPr>
        <w:t xml:space="preserve">являются одновременно подготовка проектной документации и (или) выполнение инженерных изысканий, выполнение работ по строительству, реконструкции объектов капитального строительства </w:t>
      </w:r>
      <w:r>
        <w:rPr>
          <w:rFonts w:ascii="Times New Roman" w:hAnsi="Times New Roman" w:cs="Times New Roman" w:eastAsia="Batang"/>
        </w:rPr>
        <w:t xml:space="preserve">в пункте указывается, что результатом выполненных работ по Контракту является </w:t>
      </w:r>
      <w:r>
        <w:rPr>
          <w:rFonts w:ascii="Times New Roman" w:hAnsi="Times New Roman" w:cs="Times New Roman" w:eastAsia="Batang"/>
        </w:rPr>
        <w:t xml:space="preserve">здание или сооружение,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 (статья 112 Закона № 44-ФЗ).</w:t>
      </w:r>
      <w:r>
        <w:rPr>
          <w:rFonts w:ascii="Times New Roman" w:hAnsi="Times New Roman" w:cs="Times New Roman" w:eastAsia="Batang"/>
        </w:rPr>
      </w:r>
      <w:r/>
    </w:p>
  </w:footnote>
  <w:footnote w:id="7">
    <w:p>
      <w:pPr>
        <w:pStyle w:val="835"/>
        <w:ind w:firstLine="709"/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Условие может изменяться при необходимости</w:t>
      </w:r>
      <w:r>
        <w:rPr>
          <w:rFonts w:ascii="Times New Roman" w:hAnsi="Times New Roman" w:cs="Times New Roman" w:eastAsia="Batang"/>
        </w:rPr>
        <w:t xml:space="preserve">.</w:t>
      </w:r>
      <w:r/>
    </w:p>
  </w:footnote>
  <w:footnote w:id="8">
    <w:p>
      <w:pPr>
        <w:pStyle w:val="835"/>
        <w:ind w:firstLine="709"/>
        <w:jc w:val="both"/>
      </w:pPr>
      <w:r>
        <w:rPr>
          <w:rStyle w:val="837"/>
        </w:rPr>
        <w:footnoteRef/>
      </w:r>
      <w:r>
        <w:t xml:space="preserve"> </w:t>
      </w:r>
      <w:r>
        <w:rPr>
          <w:rFonts w:ascii="Times New Roman" w:hAnsi="Times New Roman" w:cs="Times New Roman" w:eastAsia="Batang"/>
        </w:rPr>
        <w:t xml:space="preserve">Условие включается при необходимости на основании части 5 статьи 753 Гражданского кодекса Российской Федерации</w:t>
      </w:r>
      <w:r>
        <w:rPr>
          <w:rFonts w:ascii="Times New Roman" w:hAnsi="Times New Roman" w:cs="Times New Roman" w:eastAsia="Batang"/>
        </w:rPr>
        <w:t xml:space="preserve">.</w:t>
      </w:r>
      <w:r/>
    </w:p>
  </w:footnote>
  <w:footnote w:id="9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Условие включается в пункт в случае поэтапного выполнения работ.</w:t>
      </w:r>
      <w:r>
        <w:rPr>
          <w:rFonts w:ascii="Times New Roman" w:hAnsi="Times New Roman" w:cs="Times New Roman" w:eastAsia="Batang"/>
        </w:rPr>
      </w:r>
      <w:r/>
    </w:p>
  </w:footnote>
  <w:footnote w:id="10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Условие может изменяться при необходимости.</w:t>
      </w:r>
      <w:r>
        <w:rPr>
          <w:rFonts w:ascii="Times New Roman" w:hAnsi="Times New Roman" w:cs="Times New Roman" w:eastAsia="Batang"/>
        </w:rPr>
      </w:r>
      <w:r/>
    </w:p>
  </w:footnote>
  <w:footnote w:id="11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Пункт может быть изменен при необходимости, в соответствии с требованиями, предусмотренными статьей 94 Закона 44-ФЗ.</w:t>
      </w:r>
      <w:r>
        <w:rPr>
          <w:rFonts w:ascii="Times New Roman" w:hAnsi="Times New Roman" w:cs="Times New Roman" w:eastAsia="Batang"/>
        </w:rPr>
      </w:r>
      <w:r/>
    </w:p>
  </w:footnote>
  <w:footnote w:id="12">
    <w:p>
      <w:pPr>
        <w:pStyle w:val="835"/>
        <w:ind w:firstLine="709"/>
        <w:jc w:val="both"/>
        <w:rPr>
          <w:rFonts w:ascii="Times New Roman" w:hAnsi="Times New Roman" w:cs="Times New Roman"/>
        </w:rPr>
      </w:pPr>
      <w:r>
        <w:rPr>
          <w:rStyle w:val="83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Могут предусматриваться иные документы.</w:t>
      </w:r>
      <w:r>
        <w:rPr>
          <w:rFonts w:ascii="Times New Roman" w:hAnsi="Times New Roman" w:cs="Times New Roman"/>
        </w:rPr>
      </w:r>
      <w:r/>
    </w:p>
  </w:footnote>
  <w:footnote w:id="13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Условие может изменяться при необходимости.</w:t>
      </w:r>
      <w:r>
        <w:rPr>
          <w:rFonts w:ascii="Times New Roman" w:hAnsi="Times New Roman" w:cs="Times New Roman" w:eastAsia="Batang"/>
        </w:rPr>
      </w:r>
      <w:r/>
    </w:p>
  </w:footnote>
  <w:footnote w:id="14">
    <w:p>
      <w:pPr>
        <w:pStyle w:val="835"/>
        <w:ind w:firstLine="709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837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</w:rPr>
        <w:t xml:space="preserve">В</w:t>
      </w:r>
      <w:r>
        <w:rPr>
          <w:rFonts w:ascii="PT Astra Serif" w:hAnsi="PT Astra Serif" w:cs="PT Astra Serif" w:eastAsia="PT Astra Serif"/>
          <w:sz w:val="20"/>
        </w:rPr>
        <w:t xml:space="preserve"> случае, если объектом строительства </w:t>
      </w:r>
      <w:r>
        <w:rPr>
          <w:rFonts w:ascii="PT Astra Serif" w:hAnsi="PT Astra Serif" w:cs="PT Astra Serif" w:eastAsia="PT Astra Serif"/>
          <w:bCs/>
          <w:sz w:val="20"/>
          <w:szCs w:val="26"/>
        </w:rPr>
        <w:t xml:space="preserve">не является объект капитального строительства, указываются иные документы.</w:t>
      </w: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</w:footnote>
  <w:footnote w:id="15">
    <w:p>
      <w:pPr>
        <w:pStyle w:val="835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Style w:val="837"/>
          <w:rFonts w:ascii="Times New Roman" w:hAnsi="Times New Roman" w:cs="Times New Roman"/>
          <w:color w:val="000000"/>
        </w:rPr>
        <w:footnoteRef/>
      </w:r>
      <w:r>
        <w:rPr>
          <w:rFonts w:ascii="Times New Roman" w:hAnsi="Times New Roman" w:cs="Times New Roman"/>
          <w:color w:val="000000"/>
        </w:rPr>
        <w:t xml:space="preserve"> Условие включается в случае, если Контрактом предусмотрены отдельные этапы его исполнения.</w:t>
      </w:r>
      <w:r>
        <w:rPr>
          <w:rFonts w:ascii="Times New Roman" w:hAnsi="Times New Roman" w:cs="Times New Roman"/>
          <w:color w:val="000000"/>
        </w:rPr>
      </w:r>
      <w:r/>
    </w:p>
  </w:footnote>
  <w:footnote w:id="16">
    <w:p>
      <w:pPr>
        <w:pStyle w:val="835"/>
        <w:ind w:firstLine="709"/>
        <w:jc w:val="both"/>
        <w:rPr>
          <w:rFonts w:ascii="Times New Roman" w:hAnsi="Times New Roman" w:cs="Times New Roman"/>
        </w:rPr>
      </w:pPr>
      <w:r>
        <w:rPr>
          <w:rStyle w:val="83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включается при наличии в проекте Контракта условия о гарантийных обязательствах (часть 7</w:t>
      </w:r>
      <w:r>
        <w:rPr>
          <w:rFonts w:ascii="Times New Roman" w:hAnsi="Times New Roman" w:cs="Times New Roman"/>
          <w:vertAlign w:val="superscript"/>
        </w:rPr>
        <w:t xml:space="preserve">1 </w:t>
      </w:r>
      <w:r>
        <w:rPr>
          <w:rFonts w:ascii="Times New Roman" w:hAnsi="Times New Roman" w:cs="Times New Roman"/>
        </w:rPr>
        <w:t xml:space="preserve">статьи 94 Закона № 44-ФЗ).</w:t>
      </w:r>
      <w:r>
        <w:rPr>
          <w:rFonts w:ascii="Times New Roman" w:hAnsi="Times New Roman" w:cs="Times New Roman"/>
        </w:rPr>
      </w:r>
      <w:r/>
    </w:p>
  </w:footnote>
  <w:footnote w:id="17">
    <w:p>
      <w:pPr>
        <w:pStyle w:val="835"/>
        <w:ind w:firstLine="709"/>
        <w:jc w:val="both"/>
        <w:rPr>
          <w:rFonts w:ascii="Times New Roman" w:hAnsi="Times New Roman" w:cs="Times New Roman"/>
        </w:rPr>
      </w:pPr>
      <w:r>
        <w:rPr>
          <w:rStyle w:val="83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Условие может изменяться при необходимости.</w:t>
      </w:r>
      <w:r>
        <w:rPr>
          <w:rFonts w:ascii="Times New Roman" w:hAnsi="Times New Roman" w:cs="Times New Roman"/>
        </w:rPr>
      </w:r>
      <w:r/>
    </w:p>
  </w:footnote>
  <w:footnote w:id="18">
    <w:p>
      <w:pPr>
        <w:pStyle w:val="835"/>
        <w:ind w:firstLine="709"/>
        <w:jc w:val="both"/>
        <w:rPr>
          <w:rFonts w:ascii="Times New Roman" w:hAnsi="Times New Roman" w:cs="Times New Roman"/>
        </w:rPr>
      </w:pPr>
      <w:r>
        <w:rPr>
          <w:rStyle w:val="83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Могут предусматриваться иные документы.</w:t>
      </w:r>
      <w:r>
        <w:rPr>
          <w:rFonts w:ascii="Times New Roman" w:hAnsi="Times New Roman" w:cs="Times New Roman"/>
        </w:rPr>
      </w:r>
      <w:r/>
    </w:p>
  </w:footnote>
  <w:footnote w:id="19">
    <w:p>
      <w:pPr>
        <w:pStyle w:val="835"/>
        <w:ind w:firstLine="709"/>
        <w:jc w:val="both"/>
        <w:rPr>
          <w:rFonts w:ascii="Times New Roman" w:hAnsi="Times New Roman" w:cs="Times New Roman"/>
        </w:rPr>
      </w:pPr>
      <w:r>
        <w:rPr>
          <w:rStyle w:val="837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Могут предусматриваться иные документы.</w:t>
      </w:r>
      <w:r>
        <w:rPr>
          <w:rFonts w:ascii="Times New Roman" w:hAnsi="Times New Roman" w:cs="Times New Roman"/>
        </w:rPr>
      </w:r>
      <w:r/>
    </w:p>
  </w:footnote>
  <w:footnote w:id="20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Условие может изменяться при необходимости.</w:t>
      </w:r>
      <w:r>
        <w:rPr>
          <w:rFonts w:ascii="Times New Roman" w:hAnsi="Times New Roman" w:cs="Times New Roman" w:eastAsia="Batang"/>
        </w:rPr>
      </w:r>
      <w:r/>
    </w:p>
  </w:footnote>
  <w:footnote w:id="21">
    <w:p>
      <w:pPr>
        <w:pStyle w:val="835"/>
        <w:ind w:firstLine="709"/>
        <w:jc w:val="both"/>
        <w:rPr>
          <w:rFonts w:ascii="Times New Roman" w:hAnsi="Times New Roman" w:cs="Times New Roman" w:eastAsia="Batang"/>
        </w:rPr>
      </w:pPr>
      <w:r>
        <w:rPr>
          <w:rStyle w:val="837"/>
          <w:rFonts w:ascii="Times New Roman" w:hAnsi="Times New Roman" w:cs="Times New Roman" w:eastAsia="Batang"/>
        </w:rPr>
        <w:footnoteRef/>
      </w:r>
      <w:r>
        <w:rPr>
          <w:rFonts w:ascii="Times New Roman" w:hAnsi="Times New Roman" w:cs="Times New Roman" w:eastAsia="Batang"/>
        </w:rPr>
        <w:t xml:space="preserve"> Условие может изменяться при необходимости.</w:t>
      </w:r>
      <w:r>
        <w:rPr>
          <w:rFonts w:ascii="Times New Roman" w:hAnsi="Times New Roman" w:cs="Times New Roman" w:eastAsia="Batang"/>
        </w:rPr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9401550"/>
      <w:docPartObj>
        <w:docPartGallery w:val="Page Numbers (Top of Page)"/>
        <w:docPartUnique w:val="true"/>
      </w:docPartObj>
    </w:sdtPr>
    <w:sdtContent>
      <w:p>
        <w:pPr>
          <w:pStyle w:val="83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83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33425" cy="666750"/>
              <wp:effectExtent l="0" t="0" r="9525" b="0"/>
              <wp:docPr id="1" name="Рисунок 2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33424" cy="6667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8pt;height:52.5pt;" stroked="false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84" w:hanging="6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834" w:hanging="11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6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50"/>
    <w:pos w:val="pageBottom"/>
  </w:foot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4"/>
    <w:next w:val="824"/>
    <w:link w:val="66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61">
    <w:name w:val="Heading 1 Char"/>
    <w:basedOn w:val="826"/>
    <w:link w:val="660"/>
    <w:uiPriority w:val="9"/>
    <w:rPr>
      <w:rFonts w:ascii="Arial" w:hAnsi="Arial" w:cs="Arial" w:eastAsia="Arial"/>
      <w:sz w:val="40"/>
      <w:szCs w:val="40"/>
    </w:rPr>
  </w:style>
  <w:style w:type="character" w:styleId="662">
    <w:name w:val="Heading 2 Char"/>
    <w:basedOn w:val="826"/>
    <w:link w:val="825"/>
    <w:uiPriority w:val="9"/>
    <w:rPr>
      <w:rFonts w:ascii="Arial" w:hAnsi="Arial" w:cs="Arial" w:eastAsia="Arial"/>
      <w:sz w:val="34"/>
    </w:rPr>
  </w:style>
  <w:style w:type="paragraph" w:styleId="663">
    <w:name w:val="Heading 3"/>
    <w:basedOn w:val="824"/>
    <w:next w:val="824"/>
    <w:link w:val="66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64">
    <w:name w:val="Heading 3 Char"/>
    <w:basedOn w:val="826"/>
    <w:link w:val="663"/>
    <w:uiPriority w:val="9"/>
    <w:rPr>
      <w:rFonts w:ascii="Arial" w:hAnsi="Arial" w:cs="Arial" w:eastAsia="Arial"/>
      <w:sz w:val="30"/>
      <w:szCs w:val="30"/>
    </w:rPr>
  </w:style>
  <w:style w:type="paragraph" w:styleId="665">
    <w:name w:val="Heading 4"/>
    <w:basedOn w:val="824"/>
    <w:next w:val="824"/>
    <w:link w:val="66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66">
    <w:name w:val="Heading 4 Char"/>
    <w:basedOn w:val="826"/>
    <w:link w:val="665"/>
    <w:uiPriority w:val="9"/>
    <w:rPr>
      <w:rFonts w:ascii="Arial" w:hAnsi="Arial" w:cs="Arial" w:eastAsia="Arial"/>
      <w:b/>
      <w:bCs/>
      <w:sz w:val="26"/>
      <w:szCs w:val="26"/>
    </w:rPr>
  </w:style>
  <w:style w:type="paragraph" w:styleId="667">
    <w:name w:val="Heading 5"/>
    <w:basedOn w:val="824"/>
    <w:next w:val="824"/>
    <w:link w:val="66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68">
    <w:name w:val="Heading 5 Char"/>
    <w:basedOn w:val="826"/>
    <w:link w:val="667"/>
    <w:uiPriority w:val="9"/>
    <w:rPr>
      <w:rFonts w:ascii="Arial" w:hAnsi="Arial" w:cs="Arial" w:eastAsia="Arial"/>
      <w:b/>
      <w:bCs/>
      <w:sz w:val="24"/>
      <w:szCs w:val="24"/>
    </w:rPr>
  </w:style>
  <w:style w:type="paragraph" w:styleId="669">
    <w:name w:val="Heading 6"/>
    <w:basedOn w:val="824"/>
    <w:next w:val="824"/>
    <w:link w:val="67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70">
    <w:name w:val="Heading 6 Char"/>
    <w:basedOn w:val="826"/>
    <w:link w:val="669"/>
    <w:uiPriority w:val="9"/>
    <w:rPr>
      <w:rFonts w:ascii="Arial" w:hAnsi="Arial" w:cs="Arial" w:eastAsia="Arial"/>
      <w:b/>
      <w:bCs/>
      <w:sz w:val="22"/>
      <w:szCs w:val="22"/>
    </w:rPr>
  </w:style>
  <w:style w:type="paragraph" w:styleId="671">
    <w:name w:val="Heading 7"/>
    <w:basedOn w:val="824"/>
    <w:next w:val="824"/>
    <w:link w:val="67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72">
    <w:name w:val="Heading 7 Char"/>
    <w:basedOn w:val="826"/>
    <w:link w:val="67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73">
    <w:name w:val="Heading 8"/>
    <w:basedOn w:val="824"/>
    <w:next w:val="824"/>
    <w:link w:val="67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74">
    <w:name w:val="Heading 8 Char"/>
    <w:basedOn w:val="826"/>
    <w:link w:val="673"/>
    <w:uiPriority w:val="9"/>
    <w:rPr>
      <w:rFonts w:ascii="Arial" w:hAnsi="Arial" w:cs="Arial" w:eastAsia="Arial"/>
      <w:i/>
      <w:iCs/>
      <w:sz w:val="22"/>
      <w:szCs w:val="22"/>
    </w:rPr>
  </w:style>
  <w:style w:type="paragraph" w:styleId="675">
    <w:name w:val="Heading 9"/>
    <w:basedOn w:val="824"/>
    <w:next w:val="824"/>
    <w:link w:val="67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76">
    <w:name w:val="Heading 9 Char"/>
    <w:basedOn w:val="826"/>
    <w:link w:val="675"/>
    <w:uiPriority w:val="9"/>
    <w:rPr>
      <w:rFonts w:ascii="Arial" w:hAnsi="Arial" w:cs="Arial" w:eastAsia="Arial"/>
      <w:i/>
      <w:iCs/>
      <w:sz w:val="21"/>
      <w:szCs w:val="21"/>
    </w:rPr>
  </w:style>
  <w:style w:type="paragraph" w:styleId="677">
    <w:name w:val="No Spacing"/>
    <w:qFormat/>
    <w:uiPriority w:val="1"/>
    <w:pPr>
      <w:spacing w:lineRule="auto" w:line="240" w:after="0" w:before="0"/>
    </w:pPr>
  </w:style>
  <w:style w:type="paragraph" w:styleId="678">
    <w:name w:val="Title"/>
    <w:basedOn w:val="824"/>
    <w:next w:val="824"/>
    <w:link w:val="67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79">
    <w:name w:val="Title Char"/>
    <w:basedOn w:val="826"/>
    <w:link w:val="678"/>
    <w:uiPriority w:val="10"/>
    <w:rPr>
      <w:sz w:val="48"/>
      <w:szCs w:val="48"/>
    </w:rPr>
  </w:style>
  <w:style w:type="paragraph" w:styleId="680">
    <w:name w:val="Subtitle"/>
    <w:basedOn w:val="824"/>
    <w:next w:val="824"/>
    <w:link w:val="681"/>
    <w:qFormat/>
    <w:uiPriority w:val="11"/>
    <w:rPr>
      <w:sz w:val="24"/>
      <w:szCs w:val="24"/>
    </w:rPr>
    <w:pPr>
      <w:spacing w:after="200" w:before="200"/>
    </w:pPr>
  </w:style>
  <w:style w:type="character" w:styleId="681">
    <w:name w:val="Subtitle Char"/>
    <w:basedOn w:val="826"/>
    <w:link w:val="680"/>
    <w:uiPriority w:val="11"/>
    <w:rPr>
      <w:sz w:val="24"/>
      <w:szCs w:val="24"/>
    </w:rPr>
  </w:style>
  <w:style w:type="paragraph" w:styleId="682">
    <w:name w:val="Quote"/>
    <w:basedOn w:val="824"/>
    <w:next w:val="824"/>
    <w:link w:val="683"/>
    <w:qFormat/>
    <w:uiPriority w:val="29"/>
    <w:rPr>
      <w:i/>
    </w:rPr>
    <w:pPr>
      <w:ind w:left="720" w:right="720"/>
    </w:p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4"/>
    <w:next w:val="824"/>
    <w:link w:val="68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26"/>
    <w:link w:val="838"/>
    <w:uiPriority w:val="99"/>
  </w:style>
  <w:style w:type="character" w:styleId="687">
    <w:name w:val="Footer Char"/>
    <w:basedOn w:val="826"/>
    <w:link w:val="840"/>
    <w:uiPriority w:val="99"/>
  </w:style>
  <w:style w:type="table" w:styleId="688">
    <w:name w:val="Table Grid Light"/>
    <w:basedOn w:val="82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2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2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94">
    <w:name w:val="Grid Table 1 Light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2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2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2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2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2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2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3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3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1">
    <w:name w:val="Grid Table 3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2">
    <w:name w:val="Grid Table 3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3">
    <w:name w:val="Grid Table 3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4">
    <w:name w:val="Grid Table 3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5">
    <w:name w:val="Grid Table 4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16">
    <w:name w:val="Grid Table 4 - Accent 1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17">
    <w:name w:val="Grid Table 4 - Accent 2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8">
    <w:name w:val="Grid Table 4 - Accent 3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9">
    <w:name w:val="Grid Table 4 - Accent 4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20">
    <w:name w:val="Grid Table 4 - Accent 5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21">
    <w:name w:val="Grid Table 4 - Accent 6"/>
    <w:basedOn w:val="8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22">
    <w:name w:val="Grid Table 5 Dark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723">
    <w:name w:val="Grid Table 5 Dark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724">
    <w:name w:val="Grid Table 5 Dark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725">
    <w:name w:val="Grid Table 5 Dark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726">
    <w:name w:val="Grid Table 5 Dark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727">
    <w:name w:val="Grid Table 5 Dark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728">
    <w:name w:val="Grid Table 5 Dark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729">
    <w:name w:val="Grid Table 6 Colorful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7 Colorful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7 Colorful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Grid Table 7 Colorful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Grid Table 7 Colorful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Grid Table 7 Colorful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Grid Table 7 Colorful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List Table 1 Light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List Table 1 Light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List Table 1 Light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46">
    <w:name w:val="List Table 1 Light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47">
    <w:name w:val="List Table 1 Light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8">
    <w:name w:val="List Table 1 Light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9">
    <w:name w:val="List Table 1 Light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0">
    <w:name w:val="List Table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51">
    <w:name w:val="List Table 2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52">
    <w:name w:val="List Table 2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53">
    <w:name w:val="List Table 2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54">
    <w:name w:val="List Table 2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5">
    <w:name w:val="List Table 2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56">
    <w:name w:val="List Table 2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57">
    <w:name w:val="List Table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9">
    <w:name w:val="List Table 6 Colorful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80">
    <w:name w:val="List Table 6 Colorful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81">
    <w:name w:val="List Table 6 Colorful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82">
    <w:name w:val="List Table 6 Colorful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83">
    <w:name w:val="List Table 6 Colorful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84">
    <w:name w:val="List Table 6 Colorful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5">
    <w:name w:val="List Table 7 Colorful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7">
    <w:name w:val="List Table 7 Colorful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1">
    <w:name w:val="List Table 7 Colorful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2">
    <w:name w:val="Lined - Accent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793">
    <w:name w:val="Lined - Accent 1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794">
    <w:name w:val="Lined - Accent 2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795">
    <w:name w:val="Lined - Accent 3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796">
    <w:name w:val="Lined - Accent 4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797">
    <w:name w:val="Lined - Accent 5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798">
    <w:name w:val="Lined - Accent 6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799">
    <w:name w:val="Bordered &amp; Lined - Accent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800">
    <w:name w:val="Bordered &amp; Lined - Accent 1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801">
    <w:name w:val="Bordered &amp; Lined - Accent 2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802">
    <w:name w:val="Bordered &amp; Lined - Accent 3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803">
    <w:name w:val="Bordered &amp; Lined - Accent 4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804">
    <w:name w:val="Bordered &amp; Lined - Accent 5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805">
    <w:name w:val="Bordered &amp; Lined - Accent 6"/>
    <w:basedOn w:val="8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806">
    <w:name w:val="Bordered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07">
    <w:name w:val="Bordered - Accent 1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8">
    <w:name w:val="Bordered - Accent 2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9">
    <w:name w:val="Bordered - Accent 3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10">
    <w:name w:val="Bordered - Accent 4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11">
    <w:name w:val="Bordered - Accent 5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12">
    <w:name w:val="Bordered - Accent 6"/>
    <w:basedOn w:val="8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13">
    <w:name w:val="Footnote Text Char"/>
    <w:link w:val="835"/>
    <w:uiPriority w:val="99"/>
    <w:rPr>
      <w:sz w:val="18"/>
    </w:rPr>
  </w:style>
  <w:style w:type="paragraph" w:styleId="814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3">
    <w:name w:val="TOC Heading"/>
    <w:uiPriority w:val="39"/>
    <w:unhideWhenUsed/>
  </w:style>
  <w:style w:type="paragraph" w:styleId="824" w:default="1">
    <w:name w:val="Normal"/>
    <w:qFormat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825">
    <w:name w:val="Heading 2"/>
    <w:basedOn w:val="824"/>
    <w:link w:val="845"/>
    <w:qFormat/>
    <w:uiPriority w:val="9"/>
    <w:rPr>
      <w:b/>
      <w:bCs/>
      <w:sz w:val="36"/>
      <w:szCs w:val="36"/>
    </w:rPr>
    <w:pPr>
      <w:spacing w:after="100" w:afterAutospacing="1" w:before="100" w:beforeAutospacing="1"/>
      <w:outlineLvl w:val="1"/>
    </w:p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paragraph" w:styleId="829" w:customStyle="1">
    <w:name w:val="ConsPlusNormal"/>
    <w:rPr>
      <w:rFonts w:ascii="Times New Roman" w:hAnsi="Times New Roman" w:cs="Times New Roman" w:eastAsia="Times New Roman"/>
      <w:sz w:val="26"/>
      <w:szCs w:val="26"/>
      <w:lang w:eastAsia="ru-RU"/>
    </w:rPr>
    <w:pPr>
      <w:spacing w:lineRule="auto" w:line="240" w:after="0"/>
    </w:pPr>
  </w:style>
  <w:style w:type="paragraph" w:styleId="830">
    <w:name w:val="Balloon Text"/>
    <w:basedOn w:val="824"/>
    <w:link w:val="83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26"/>
    <w:link w:val="830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character" w:styleId="832" w:customStyle="1">
    <w:name w:val="Font Style14"/>
    <w:rPr>
      <w:rFonts w:ascii="Times New Roman" w:hAnsi="Times New Roman" w:cs="Times New Roman"/>
      <w:sz w:val="22"/>
      <w:szCs w:val="22"/>
    </w:rPr>
  </w:style>
  <w:style w:type="character" w:styleId="833">
    <w:name w:val="Hyperlink"/>
    <w:basedOn w:val="826"/>
    <w:uiPriority w:val="99"/>
    <w:unhideWhenUsed/>
    <w:rPr>
      <w:color w:val="0563C1" w:themeColor="hyperlink"/>
      <w:u w:val="single"/>
    </w:rPr>
  </w:style>
  <w:style w:type="paragraph" w:styleId="834">
    <w:name w:val="List Paragraph"/>
    <w:basedOn w:val="824"/>
    <w:qFormat/>
    <w:uiPriority w:val="34"/>
    <w:pPr>
      <w:contextualSpacing w:val="true"/>
      <w:ind w:left="720"/>
    </w:pPr>
  </w:style>
  <w:style w:type="paragraph" w:styleId="835">
    <w:name w:val="footnote text"/>
    <w:basedOn w:val="824"/>
    <w:link w:val="836"/>
    <w:semiHidden/>
    <w:rPr>
      <w:rFonts w:ascii="Arial" w:hAnsi="Arial" w:cs="Arial"/>
      <w:sz w:val="20"/>
      <w:szCs w:val="20"/>
    </w:rPr>
    <w:pPr>
      <w:widowControl w:val="off"/>
    </w:pPr>
  </w:style>
  <w:style w:type="character" w:styleId="836" w:customStyle="1">
    <w:name w:val="Текст сноски Знак"/>
    <w:basedOn w:val="826"/>
    <w:link w:val="835"/>
    <w:semiHidden/>
    <w:rPr>
      <w:rFonts w:ascii="Arial" w:hAnsi="Arial" w:cs="Arial" w:eastAsia="Times New Roman"/>
      <w:sz w:val="20"/>
      <w:szCs w:val="20"/>
      <w:lang w:eastAsia="ru-RU"/>
    </w:rPr>
  </w:style>
  <w:style w:type="character" w:styleId="837">
    <w:name w:val="footnote reference"/>
    <w:semiHidden/>
    <w:rPr>
      <w:vertAlign w:val="superscript"/>
    </w:rPr>
  </w:style>
  <w:style w:type="paragraph" w:styleId="838">
    <w:name w:val="Header"/>
    <w:basedOn w:val="824"/>
    <w:link w:val="8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9" w:customStyle="1">
    <w:name w:val="Верхний колонтитул Знак"/>
    <w:basedOn w:val="826"/>
    <w:link w:val="838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840">
    <w:name w:val="Footer"/>
    <w:basedOn w:val="824"/>
    <w:link w:val="8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1" w:customStyle="1">
    <w:name w:val="Нижний колонтитул Знак"/>
    <w:basedOn w:val="826"/>
    <w:link w:val="840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842">
    <w:name w:val="endnote text"/>
    <w:basedOn w:val="824"/>
    <w:link w:val="843"/>
    <w:uiPriority w:val="99"/>
    <w:semiHidden/>
    <w:unhideWhenUsed/>
    <w:rPr>
      <w:sz w:val="20"/>
      <w:szCs w:val="20"/>
    </w:rPr>
  </w:style>
  <w:style w:type="character" w:styleId="843" w:customStyle="1">
    <w:name w:val="Текст концевой сноски Знак"/>
    <w:basedOn w:val="826"/>
    <w:link w:val="842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844">
    <w:name w:val="endnote reference"/>
    <w:basedOn w:val="826"/>
    <w:uiPriority w:val="99"/>
    <w:semiHidden/>
    <w:unhideWhenUsed/>
    <w:rPr>
      <w:vertAlign w:val="superscript"/>
    </w:rPr>
  </w:style>
  <w:style w:type="character" w:styleId="845" w:customStyle="1">
    <w:name w:val="Заголовок 2 Знак"/>
    <w:basedOn w:val="826"/>
    <w:link w:val="825"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table" w:styleId="846" w:customStyle="1">
    <w:name w:val="Сетка таблицы1"/>
    <w:basedOn w:val="827"/>
    <w:next w:val="84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847">
    <w:name w:val="Table Grid"/>
    <w:basedOn w:val="82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revision>145</cp:revision>
  <dcterms:created xsi:type="dcterms:W3CDTF">2017-10-03T07:48:00Z</dcterms:created>
  <dcterms:modified xsi:type="dcterms:W3CDTF">2020-05-20T08:55:07Z</dcterms:modified>
</cp:coreProperties>
</file>