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E01214">
        <w:rPr>
          <w:rFonts w:ascii="PT Astra Serif" w:hAnsi="PT Astra Serif"/>
          <w:b/>
          <w:color w:val="000000" w:themeColor="text1"/>
        </w:rPr>
        <w:t>22</w:t>
      </w:r>
      <w:r w:rsidR="004D1DC5">
        <w:rPr>
          <w:rFonts w:ascii="PT Astra Serif" w:hAnsi="PT Astra Serif"/>
          <w:b/>
          <w:color w:val="000000" w:themeColor="text1"/>
        </w:rPr>
        <w:t>.04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980B06" w:rsidP="00E13802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Приказ Минстроя России от 08.02.2024 № 80/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пр</w:t>
            </w:r>
            <w:proofErr w:type="spellEnd"/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980B06" w:rsidP="00C51A1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Минстрой России определил учреждение, уполномоченное на организацию и проведение работ по подтверждению пригодности новых материалов, изделий конструкций и технологий в строительстве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980B06" w:rsidP="00C60FC1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21.03.2024 № 24-06-06/25415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980B06" w:rsidP="00C60FC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применения антидемпинговых мер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2968D9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563F75" w:rsidRDefault="00C208E4" w:rsidP="00980B0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15.04.2024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br/>
              <w:t xml:space="preserve">№ 305-ЭС24-5150 по делу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br/>
              <w:t>№ А41-0199792/2022</w:t>
            </w:r>
          </w:p>
        </w:tc>
        <w:tc>
          <w:tcPr>
            <w:tcW w:w="5392" w:type="dxa"/>
          </w:tcPr>
          <w:p w:rsidR="0087582F" w:rsidRPr="0087582F" w:rsidRDefault="006D037C" w:rsidP="00560C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Соглашение о расторжении контракта позволяет недобросовестному подрядчику избежать неблагоприятных последствий</w:t>
            </w:r>
          </w:p>
        </w:tc>
      </w:tr>
      <w:tr w:rsidR="00806884" w:rsidRPr="00206A80" w:rsidTr="0087582F">
        <w:trPr>
          <w:trHeight w:val="70"/>
        </w:trPr>
        <w:tc>
          <w:tcPr>
            <w:tcW w:w="4814" w:type="dxa"/>
            <w:vAlign w:val="center"/>
          </w:tcPr>
          <w:p w:rsidR="00806884" w:rsidRPr="00806884" w:rsidRDefault="00806884" w:rsidP="0080688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806884"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 w:rsidRPr="00806884"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 w:rsidRPr="00806884">
              <w:rPr>
                <w:rFonts w:ascii="PT Astra Serif" w:hAnsi="PT Astra Serif"/>
                <w:i/>
                <w:sz w:val="26"/>
                <w:szCs w:val="26"/>
              </w:rPr>
              <w:t xml:space="preserve"> округа от 12.04.2024 по делу № А45-19567/2023</w:t>
            </w:r>
          </w:p>
          <w:p w:rsidR="00806884" w:rsidRDefault="00806884" w:rsidP="00980B0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  <w:tc>
          <w:tcPr>
            <w:tcW w:w="5392" w:type="dxa"/>
          </w:tcPr>
          <w:p w:rsidR="00806884" w:rsidRDefault="00806884" w:rsidP="00560C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806884">
              <w:rPr>
                <w:rFonts w:ascii="PT Astra Serif" w:hAnsi="PT Astra Serif"/>
                <w:bCs/>
                <w:sz w:val="26"/>
                <w:szCs w:val="26"/>
              </w:rPr>
              <w:t>Отсутствие в инструкции по заполнению заявки разъяснений значения любой из характеристик образует нарушение положений части 3 статьи 7 Закона № 44-ФЗ, поскольку такая инструкция не отвечает признаку полноты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C507FC" w:rsidRDefault="00E86EBD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Северо-Западного округа от 17.04.2024 по делу № А56-49273/2023</w:t>
            </w:r>
          </w:p>
        </w:tc>
        <w:tc>
          <w:tcPr>
            <w:tcW w:w="5392" w:type="dxa"/>
          </w:tcPr>
          <w:p w:rsidR="0087582F" w:rsidRPr="00C507FC" w:rsidRDefault="006D037C" w:rsidP="006D03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Установление т</w:t>
            </w:r>
            <w:r w:rsidRPr="006D037C">
              <w:rPr>
                <w:rFonts w:ascii="PT Astra Serif" w:hAnsi="PT Astra Serif"/>
                <w:sz w:val="26"/>
                <w:szCs w:val="26"/>
              </w:rPr>
              <w:t>ребовани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6D037C">
              <w:rPr>
                <w:rFonts w:ascii="PT Astra Serif" w:hAnsi="PT Astra Serif"/>
                <w:sz w:val="26"/>
                <w:szCs w:val="26"/>
              </w:rPr>
              <w:t xml:space="preserve"> о наличии опыта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 Постановлению № 2571 </w:t>
            </w:r>
            <w:r w:rsidRPr="006D037C">
              <w:rPr>
                <w:rFonts w:ascii="PT Astra Serif" w:hAnsi="PT Astra Serif"/>
                <w:sz w:val="26"/>
                <w:szCs w:val="26"/>
              </w:rPr>
              <w:t xml:space="preserve">и лицензии на осуществление деятельности по сохранению объектов культурного наследия </w:t>
            </w:r>
            <w:r w:rsidR="00490284">
              <w:rPr>
                <w:rFonts w:ascii="PT Astra Serif" w:hAnsi="PT Astra Serif"/>
                <w:sz w:val="26"/>
                <w:szCs w:val="26"/>
              </w:rPr>
              <w:t xml:space="preserve">наряду с требованиями к СРО в сфере строительства </w:t>
            </w:r>
            <w:r>
              <w:rPr>
                <w:rFonts w:ascii="PT Astra Serif" w:hAnsi="PT Astra Serif"/>
                <w:sz w:val="26"/>
                <w:szCs w:val="26"/>
              </w:rPr>
              <w:t>является правомерным</w:t>
            </w:r>
          </w:p>
        </w:tc>
      </w:tr>
    </w:tbl>
    <w:p w:rsidR="00FF30FA" w:rsidRDefault="00FF30FA" w:rsidP="0030223B">
      <w:pPr>
        <w:jc w:val="both"/>
        <w:rPr>
          <w:rFonts w:ascii="PT Astra Serif" w:hAnsi="PT Astra Serif"/>
          <w:i/>
        </w:rPr>
      </w:pPr>
    </w:p>
    <w:p w:rsidR="0087582F" w:rsidRDefault="0087582F" w:rsidP="0030223B">
      <w:pPr>
        <w:jc w:val="both"/>
        <w:rPr>
          <w:rFonts w:ascii="PT Astra Serif" w:hAnsi="PT Astra Serif"/>
          <w:i/>
        </w:rPr>
      </w:pPr>
    </w:p>
    <w:p w:rsidR="0087582F" w:rsidRPr="00980B06" w:rsidRDefault="00980B06" w:rsidP="0087582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80B06">
        <w:rPr>
          <w:rFonts w:ascii="PT Astra Serif" w:hAnsi="PT Astra Serif"/>
          <w:i/>
          <w:sz w:val="26"/>
          <w:szCs w:val="26"/>
        </w:rPr>
        <w:t>Приказ Минстроя России от 08.02.2024 № 80/</w:t>
      </w:r>
      <w:proofErr w:type="spellStart"/>
      <w:r w:rsidRPr="00980B06">
        <w:rPr>
          <w:rFonts w:ascii="PT Astra Serif" w:hAnsi="PT Astra Serif"/>
          <w:i/>
          <w:sz w:val="26"/>
          <w:szCs w:val="26"/>
        </w:rPr>
        <w:t>пр</w:t>
      </w:r>
      <w:proofErr w:type="spellEnd"/>
      <w:r w:rsidRPr="00980B06">
        <w:rPr>
          <w:rFonts w:ascii="PT Astra Serif" w:hAnsi="PT Astra Serif"/>
          <w:i/>
          <w:sz w:val="26"/>
          <w:szCs w:val="26"/>
        </w:rPr>
        <w:t xml:space="preserve"> «Об установлении в 2024 году возможности подтверждения пригодности для применения в строительстве новых материалов, изделий, конструкций и технологий, применение которых в строительстве не регламентировано действующими строительными нормами и правилами, национальными стандартами и другими нормативными документами, техническим свидетельством подведомственного Министерству строительства и жилищно-коммунального хозяйства Российской Федерации федерального автономного учреждения»</w:t>
      </w:r>
    </w:p>
    <w:p w:rsidR="00980B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Минстрой России установил, что пригодность </w:t>
      </w:r>
      <w:r w:rsidRPr="00980B06">
        <w:rPr>
          <w:rFonts w:ascii="PT Astra Serif" w:hAnsi="PT Astra Serif"/>
          <w:sz w:val="26"/>
          <w:szCs w:val="26"/>
        </w:rPr>
        <w:t>новых материалов, изделий, конструкций и технологий, применение которых в строительстве не регламентировано действующими строительными нормами и правилами, национальными стандартами и другими нормативными документами, техническим свидетельством</w:t>
      </w:r>
      <w:r>
        <w:rPr>
          <w:rFonts w:ascii="PT Astra Serif" w:hAnsi="PT Astra Serif"/>
          <w:sz w:val="26"/>
          <w:szCs w:val="26"/>
        </w:rPr>
        <w:t>, выдаваемым ФАУ «Федеральный центр нормирования, стандартизации и технической оценки соответствия в строительстве».</w:t>
      </w:r>
    </w:p>
    <w:p w:rsidR="00980B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80B06" w:rsidRDefault="00980B06" w:rsidP="0087582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80B06">
        <w:rPr>
          <w:rFonts w:ascii="PT Astra Serif" w:hAnsi="PT Astra Serif"/>
          <w:i/>
          <w:sz w:val="26"/>
          <w:szCs w:val="26"/>
        </w:rPr>
        <w:t>Письмо Минфина России от 21.03.2024 № 24-06-06/25415 «О рассмотрении обращения»</w:t>
      </w:r>
    </w:p>
    <w:p w:rsidR="002A22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0B06">
        <w:rPr>
          <w:rFonts w:ascii="PT Astra Serif" w:hAnsi="PT Astra Serif"/>
          <w:sz w:val="26"/>
          <w:szCs w:val="26"/>
        </w:rPr>
        <w:t xml:space="preserve">В соответствии с частью 1 статьи 37 Закона № 44-ФЗ если при проведении конкурса или аукциона начальная (максимальная) цена контракта составляет более чем пятнадцать миллионов рублей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</w:t>
      </w:r>
      <w:r w:rsidRPr="00980B06">
        <w:rPr>
          <w:rFonts w:ascii="PT Astra Serif" w:hAnsi="PT Astra Serif"/>
          <w:sz w:val="26"/>
          <w:szCs w:val="26"/>
        </w:rPr>
        <w:lastRenderedPageBreak/>
        <w:t xml:space="preserve">единиц,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извещении об осуществлении закупки, документации о закупке (в случае, если Законом № 44-ФЗ предусмотрена документация о закупке), но не менее чем десять процентов от начальной (максимальной) цены контракта или от цены заключаемого контракта (если контракт заключается по результатам определения поставщика (подрядчика, исполнителя) в соответствии с пунктом 1 части 1 статьи 30 настоящего Федерального закона) и не менее размера аванса (если контрактом предусмотрена выплата аванса). </w:t>
      </w:r>
    </w:p>
    <w:p w:rsidR="002A22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0B06">
        <w:rPr>
          <w:rFonts w:ascii="PT Astra Serif" w:hAnsi="PT Astra Serif"/>
          <w:sz w:val="26"/>
          <w:szCs w:val="26"/>
        </w:rPr>
        <w:t xml:space="preserve">Следует отметить, что согласно части 1 статьи 96 Закона № 44-ФЗ заказчиком, за исключением случаев, предусмотренных частью 2 указанной статьи, в извещении об осуществлении закупки, документации о закупке, проекте контракта, приглашении должно быть установлено требование обеспечения исполнения контракта. </w:t>
      </w:r>
    </w:p>
    <w:p w:rsidR="002A22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0B06">
        <w:rPr>
          <w:rFonts w:ascii="PT Astra Serif" w:hAnsi="PT Astra Serif"/>
          <w:sz w:val="26"/>
          <w:szCs w:val="26"/>
        </w:rPr>
        <w:t>Вместе с тем частью 64</w:t>
      </w:r>
      <w:r w:rsidR="006A3775">
        <w:rPr>
          <w:rFonts w:ascii="PT Astra Serif" w:hAnsi="PT Astra Serif"/>
          <w:sz w:val="26"/>
          <w:szCs w:val="26"/>
        </w:rPr>
        <w:t>.</w:t>
      </w:r>
      <w:r w:rsidRPr="00980B06">
        <w:rPr>
          <w:rFonts w:ascii="PT Astra Serif" w:hAnsi="PT Astra Serif"/>
          <w:sz w:val="26"/>
          <w:szCs w:val="26"/>
        </w:rPr>
        <w:t xml:space="preserve">1 статьи 112 Закона № 44-ФЗ предусмотрено временное (до 31.12.2024) право заказчика не устанавливать требование обеспечения исполнения контракта, обеспечения гарантийных обязательств в извещении об осуществлении закупки, приглашении, документации о закупке (в случае, если Законом № 44-ФЗ предусмотрена документация о закупке), проекте контракта. </w:t>
      </w:r>
    </w:p>
    <w:p w:rsidR="002A22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0B06">
        <w:rPr>
          <w:rFonts w:ascii="PT Astra Serif" w:hAnsi="PT Astra Serif"/>
          <w:sz w:val="26"/>
          <w:szCs w:val="26"/>
        </w:rPr>
        <w:t>Положения части 64</w:t>
      </w:r>
      <w:r w:rsidR="002A2206">
        <w:rPr>
          <w:rFonts w:ascii="PT Astra Serif" w:hAnsi="PT Astra Serif"/>
          <w:sz w:val="26"/>
          <w:szCs w:val="26"/>
        </w:rPr>
        <w:t>.</w:t>
      </w:r>
      <w:r w:rsidRPr="00980B06">
        <w:rPr>
          <w:rFonts w:ascii="PT Astra Serif" w:hAnsi="PT Astra Serif"/>
          <w:sz w:val="26"/>
          <w:szCs w:val="26"/>
        </w:rPr>
        <w:t xml:space="preserve">1 статьи 112 Закона № 44-ФЗ не применяются, если контрактом предусмотрена выплата аванса и при этом расчеты в части аванса не подлежат казначейскому сопровождению. </w:t>
      </w:r>
    </w:p>
    <w:p w:rsidR="00980B06" w:rsidRDefault="00980B06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0B06">
        <w:rPr>
          <w:rFonts w:ascii="PT Astra Serif" w:hAnsi="PT Astra Serif"/>
          <w:sz w:val="26"/>
          <w:szCs w:val="26"/>
        </w:rPr>
        <w:t>Таким образом, в случае, если в соответствии с положениями части 64</w:t>
      </w:r>
      <w:r w:rsidR="002A2206">
        <w:rPr>
          <w:rFonts w:ascii="PT Astra Serif" w:hAnsi="PT Astra Serif"/>
          <w:sz w:val="26"/>
          <w:szCs w:val="26"/>
        </w:rPr>
        <w:t>.</w:t>
      </w:r>
      <w:r w:rsidRPr="00980B06">
        <w:rPr>
          <w:rFonts w:ascii="PT Astra Serif" w:hAnsi="PT Astra Serif"/>
          <w:sz w:val="26"/>
          <w:szCs w:val="26"/>
        </w:rPr>
        <w:t>1 статьи 112 Закона № 44-ФЗ заказчиком не установлено требование обеспечения исполнения контракта, антидемпинговые меры при проведении конкурса и аукциона, предусмотренные статьей 37 Закона № 44-ФЗ, не применяются.</w:t>
      </w:r>
    </w:p>
    <w:p w:rsidR="006A3775" w:rsidRDefault="006A3775" w:rsidP="0087582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3047B" w:rsidRDefault="0073047B" w:rsidP="0073047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3047B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15.04.2024 № 305-ЭС24-5150 по делу № А41-0199792/2022</w:t>
      </w:r>
    </w:p>
    <w:p w:rsidR="0073047B" w:rsidRDefault="0073047B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3047B">
        <w:rPr>
          <w:rFonts w:ascii="PT Astra Serif" w:hAnsi="PT Astra Serif"/>
          <w:sz w:val="26"/>
          <w:szCs w:val="26"/>
        </w:rPr>
        <w:t>Заявитель: Общество</w:t>
      </w:r>
    </w:p>
    <w:p w:rsidR="0073047B" w:rsidRDefault="00213B0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Учреждением проведен открытый конкурс в электронной форме, по результатам которого с Обществом заключен контракт на выполнение работ по благоустройству.</w:t>
      </w:r>
    </w:p>
    <w:p w:rsidR="0073047B" w:rsidRDefault="0073047B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выполнило работы частично. </w:t>
      </w:r>
    </w:p>
    <w:p w:rsidR="0073047B" w:rsidRDefault="0073047B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Учреждением и Экспертной организацией заключен контракт на проведение экспертизы результатов выполненных Обществом работ. Согласно экспертному закл</w:t>
      </w:r>
      <w:r w:rsidR="00213B0D">
        <w:rPr>
          <w:rFonts w:ascii="PT Astra Serif" w:hAnsi="PT Astra Serif"/>
          <w:sz w:val="26"/>
          <w:szCs w:val="26"/>
        </w:rPr>
        <w:t>ючению часть выполненных работ не соответствуют характеристикам, содержащимся в проекте и разработанном на его основании архитектурном решении.</w:t>
      </w:r>
    </w:p>
    <w:p w:rsidR="00213B0D" w:rsidRDefault="00213B0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и Общество заключили соглашение о расторжении контракта, которым установили факт выполнения работ частично.</w:t>
      </w:r>
    </w:p>
    <w:p w:rsidR="00213B0D" w:rsidRDefault="00213B0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прокурора указал на несоответствие выполненных работ требованиям конкурсной документации о соответствии проекту, в связи с чем у Учреждения возникла обязанность принять решение о расторжении контракта в одностороннем порядке. </w:t>
      </w:r>
    </w:p>
    <w:p w:rsidR="00213B0D" w:rsidRDefault="00213B0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 соглашение недействительным, Заместитель прокурора обратился в арбитражный суд с иском.</w:t>
      </w:r>
    </w:p>
    <w:p w:rsidR="00213B0D" w:rsidRDefault="00213B0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</w:t>
      </w:r>
      <w:r w:rsidR="00A54C7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апелляционной </w:t>
      </w:r>
      <w:r w:rsidR="00A54C7B">
        <w:rPr>
          <w:rFonts w:ascii="PT Astra Serif" w:hAnsi="PT Astra Serif"/>
          <w:sz w:val="26"/>
          <w:szCs w:val="26"/>
        </w:rPr>
        <w:t xml:space="preserve">и кассационной </w:t>
      </w:r>
      <w:r>
        <w:rPr>
          <w:rFonts w:ascii="PT Astra Serif" w:hAnsi="PT Astra Serif"/>
          <w:sz w:val="26"/>
          <w:szCs w:val="26"/>
        </w:rPr>
        <w:t>инстанции установили, что существенные отступления от проекта являются необоснованными и их наличие существенным образом нарушает публичные интересы</w:t>
      </w:r>
      <w:r w:rsidR="00A54C7B">
        <w:rPr>
          <w:rFonts w:ascii="PT Astra Serif" w:hAnsi="PT Astra Serif"/>
          <w:sz w:val="26"/>
          <w:szCs w:val="26"/>
        </w:rPr>
        <w:t xml:space="preserve"> (государственный заказчик не получает того результата, на который рассчитывал при размещении государственного заказа), поэтому расторжение контракта по соглашению сторон неправомерно.</w:t>
      </w:r>
    </w:p>
    <w:p w:rsidR="00A54C7B" w:rsidRDefault="009C2FCB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Верховный Суд Российской Федерации</w:t>
      </w:r>
      <w:r w:rsidR="00A54C7B">
        <w:rPr>
          <w:rFonts w:ascii="PT Astra Serif" w:hAnsi="PT Astra Serif"/>
          <w:sz w:val="26"/>
          <w:szCs w:val="26"/>
        </w:rPr>
        <w:t xml:space="preserve"> отказал в передаче кассационной жалобы в коллегию по экономическим спорам для рассмотрения.</w:t>
      </w:r>
    </w:p>
    <w:p w:rsidR="00213B0D" w:rsidRDefault="009C2FCB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Аналогичные выводы содержатся в Определении Верховного Суда Российской Федерации от 03.04.2024 № 307-ЭС24-2793 по делу № А56-11482/2023.</w:t>
      </w:r>
    </w:p>
    <w:p w:rsidR="00296D91" w:rsidRDefault="00296D91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96D91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296D91"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 w:rsidRPr="00296D91">
        <w:rPr>
          <w:rFonts w:ascii="PT Astra Serif" w:hAnsi="PT Astra Serif"/>
          <w:i/>
          <w:sz w:val="26"/>
          <w:szCs w:val="26"/>
        </w:rPr>
        <w:t xml:space="preserve"> округа </w:t>
      </w:r>
      <w:r w:rsidRPr="00296D91">
        <w:rPr>
          <w:rFonts w:ascii="PT Astra Serif" w:hAnsi="PT Astra Serif"/>
          <w:i/>
          <w:sz w:val="26"/>
          <w:szCs w:val="26"/>
        </w:rPr>
        <w:br/>
        <w:t>от 12.04.2024 по делу № А45-19567/2023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Податель кассационной жалобы: Учреждение 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>Учреждение разместило извещение о проведении электронного аукциона на поставку медицинских изделий – аппарата рентгеновского для флюорографии.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В ходе внеплановой проверки УФАС в действиях Учреждения и Заказчика обнаружено нарушение части 3 статьи 7, пункта 3 части 2 статьи 42 Закона № 44-ФЗ (при описании объекта закупки заказчиком установлено значение характеристики «неважно», разъяснений относительно допустимых способов указания в заявке характеристик инструкция не содержала). 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На основании решения УФАС выдано предписание, согласно которому Заказчику необходимо указать в инструкции по заполнению заявки на участие в закупке возможные варианты заполнения значений описания объекта закупки в характеристике «неважно». 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Не согласившись с решением УФАС, Учреждение обратилось в суд с требованием о признании его недействительным. 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Решением суда первой инстанции, оставленным без изменения постановлением суда апелляционной инстанции, в удовлетворении требований отказано.    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>Суды исходили из того, что отсутствие разъяснений ввело в заблуждение участников закупки относительно правильного возможного способа указания характеристик с показателем «неважно» (в поданных заявках соответствующие характеристики содержали как конкретные характеристики планируемого к поставке товара, так и указание «неважно»).</w:t>
      </w:r>
    </w:p>
    <w:p w:rsidR="00296D91" w:rsidRP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 xml:space="preserve">Отсутствие в инструкции по заполнению заявки разъяснений значения характеристики «неважно» образует нарушение положений части 3 статьи 7 Закона № 44-ФЗ, поскольку размещенная инструкция не отвечает признаку полноты. </w:t>
      </w:r>
    </w:p>
    <w:p w:rsidR="00296D91" w:rsidRDefault="00296D91" w:rsidP="00296D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D91">
        <w:rPr>
          <w:rFonts w:ascii="PT Astra Serif" w:hAnsi="PT Astra Serif"/>
          <w:sz w:val="26"/>
          <w:szCs w:val="26"/>
        </w:rPr>
        <w:t>Суд кассационной инстанции поддержал выводы судов нижестоящих инстанции и оставил жалобу Учреждения без рассмотрения.</w:t>
      </w:r>
    </w:p>
    <w:p w:rsidR="00E86EBD" w:rsidRDefault="00E86EB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86EBD" w:rsidRDefault="00E86EBD" w:rsidP="0073047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86EBD">
        <w:rPr>
          <w:rFonts w:ascii="PT Astra Serif" w:hAnsi="PT Astra Serif"/>
          <w:i/>
          <w:sz w:val="26"/>
          <w:szCs w:val="26"/>
        </w:rPr>
        <w:t>Постановление Арбитражного суда Северо-Западного округа от 17.04.2024 по делу № А56-49273/2023</w:t>
      </w:r>
    </w:p>
    <w:p w:rsidR="00E86EBD" w:rsidRPr="00E86EBD" w:rsidRDefault="00E86EB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86EBD">
        <w:rPr>
          <w:rFonts w:ascii="PT Astra Serif" w:hAnsi="PT Astra Serif"/>
          <w:sz w:val="26"/>
          <w:szCs w:val="26"/>
        </w:rPr>
        <w:t>Заявители: Учреждение, Бюро</w:t>
      </w:r>
    </w:p>
    <w:p w:rsidR="00E86EBD" w:rsidRDefault="00E86EB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Комитет разместил извещение о проведении электронного аукциона на капитальный ремонт объекта. Заказчиком по данной закупке является Учреждение.</w:t>
      </w:r>
    </w:p>
    <w:p w:rsidR="00E86EBD" w:rsidRDefault="00E86EB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3.1. извещения содержатся требования, предусмотренные позицией 2 раздела 1 приложения к Постановлению №2571.</w:t>
      </w:r>
    </w:p>
    <w:p w:rsidR="00E86EBD" w:rsidRDefault="00E86EBD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Пунктом 4 извещения установлено, что участник должен быть членом саморегулируемой организации в области строительства, реконструкции, капитального ремонта объектов капитального строительства, а также иметь лицензию на осуществление деятельности по сохранению объектов культурного наследия. </w:t>
      </w:r>
    </w:p>
    <w:p w:rsidR="00080526" w:rsidRDefault="00080526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посчитало, что объект закупки является одновременно и объектом культурного наследия</w:t>
      </w:r>
      <w:r w:rsidR="0045691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и автомобильной дорог</w:t>
      </w:r>
      <w:r w:rsidR="00456913">
        <w:rPr>
          <w:rFonts w:ascii="PT Astra Serif" w:hAnsi="PT Astra Serif"/>
          <w:sz w:val="26"/>
          <w:szCs w:val="26"/>
        </w:rPr>
        <w:t>ой</w:t>
      </w:r>
      <w:r>
        <w:rPr>
          <w:rFonts w:ascii="PT Astra Serif" w:hAnsi="PT Astra Serif"/>
          <w:sz w:val="26"/>
          <w:szCs w:val="26"/>
        </w:rPr>
        <w:t>. Исходя из общей стоимости работ на объекте, рест</w:t>
      </w:r>
      <w:r w:rsidR="00A96411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врационные работы составляют 4,8%, а общестроительные в отношении набережной как участка автомобильной дороги – 89%.  </w:t>
      </w:r>
      <w:r w:rsidRPr="00080526">
        <w:rPr>
          <w:rFonts w:ascii="PT Astra Serif" w:hAnsi="PT Astra Serif"/>
          <w:sz w:val="26"/>
          <w:szCs w:val="26"/>
        </w:rPr>
        <w:t xml:space="preserve">Указанные в извещении требования </w:t>
      </w:r>
      <w:r w:rsidRPr="00080526">
        <w:rPr>
          <w:rFonts w:ascii="PT Astra Serif" w:hAnsi="PT Astra Serif"/>
          <w:sz w:val="26"/>
          <w:szCs w:val="26"/>
        </w:rPr>
        <w:lastRenderedPageBreak/>
        <w:t>о наличии опыта и лицензии на осуществление деятельности по сохранению объектов культурного наследия препятствуют участию в закупке лиц, не обладающих специальной правоспособностью в сфере сохранения объектов культурного наследия.</w:t>
      </w:r>
    </w:p>
    <w:p w:rsidR="00080526" w:rsidRDefault="00080526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указанным, Общество обратилось с иском в суд.</w:t>
      </w:r>
    </w:p>
    <w:p w:rsidR="00080526" w:rsidRDefault="00080526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 и апелляционной инстанции признали позицию Общества обоснованной и признали торги недействительными.</w:t>
      </w:r>
    </w:p>
    <w:p w:rsidR="00080526" w:rsidRDefault="00080526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кассационной инстанции отменил решения нижестоящих судов, руководствуясь следующим. </w:t>
      </w:r>
    </w:p>
    <w:p w:rsidR="00080526" w:rsidRDefault="00080526" w:rsidP="0073047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0526">
        <w:rPr>
          <w:rFonts w:ascii="PT Astra Serif" w:hAnsi="PT Astra Serif"/>
          <w:sz w:val="26"/>
          <w:szCs w:val="26"/>
        </w:rPr>
        <w:t>Согласно статье 45 Закона № 73-ФЗ к проведению работ по сохранению объекта культурного наследия, включенного в реестр</w:t>
      </w:r>
      <w:r>
        <w:rPr>
          <w:rFonts w:ascii="PT Astra Serif" w:hAnsi="PT Astra Serif"/>
          <w:sz w:val="26"/>
          <w:szCs w:val="26"/>
        </w:rPr>
        <w:t>,</w:t>
      </w:r>
      <w:r w:rsidRPr="00080526">
        <w:rPr>
          <w:rFonts w:ascii="PT Astra Serif" w:hAnsi="PT Astra Serif"/>
          <w:sz w:val="26"/>
          <w:szCs w:val="26"/>
        </w:rPr>
        <w:t xml:space="preserve"> допускаются юридические лица и индивидуальные предприниматели, имеющие лицензию на осуществление деятельности по сохранению объектов культурного наследия. </w:t>
      </w:r>
    </w:p>
    <w:p w:rsidR="00E86EBD" w:rsidRDefault="00080526" w:rsidP="000805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0526">
        <w:rPr>
          <w:rFonts w:ascii="PT Astra Serif" w:hAnsi="PT Astra Serif"/>
          <w:sz w:val="26"/>
          <w:szCs w:val="26"/>
        </w:rPr>
        <w:t>Требования, приведенные в позиции 2 раздела 1 приложения к Постановлению</w:t>
      </w:r>
      <w:r>
        <w:rPr>
          <w:rFonts w:ascii="PT Astra Serif" w:hAnsi="PT Astra Serif"/>
          <w:sz w:val="26"/>
          <w:szCs w:val="26"/>
        </w:rPr>
        <w:br/>
      </w:r>
      <w:r w:rsidRPr="00080526">
        <w:rPr>
          <w:rFonts w:ascii="PT Astra Serif" w:hAnsi="PT Astra Serif"/>
          <w:sz w:val="26"/>
          <w:szCs w:val="26"/>
        </w:rPr>
        <w:t xml:space="preserve"> № 2571</w:t>
      </w:r>
      <w:r w:rsidR="00456913">
        <w:rPr>
          <w:rFonts w:ascii="PT Astra Serif" w:hAnsi="PT Astra Serif"/>
          <w:sz w:val="26"/>
          <w:szCs w:val="26"/>
        </w:rPr>
        <w:t>,</w:t>
      </w:r>
      <w:r w:rsidRPr="00080526">
        <w:rPr>
          <w:rFonts w:ascii="PT Astra Serif" w:hAnsi="PT Astra Serif"/>
          <w:sz w:val="26"/>
          <w:szCs w:val="26"/>
        </w:rPr>
        <w:t xml:space="preserve"> продублированы Комитетом в пунктах 3.1 и 4 </w:t>
      </w:r>
      <w:r>
        <w:rPr>
          <w:rFonts w:ascii="PT Astra Serif" w:hAnsi="PT Astra Serif"/>
          <w:sz w:val="26"/>
          <w:szCs w:val="26"/>
        </w:rPr>
        <w:t>и</w:t>
      </w:r>
      <w:r w:rsidRPr="00080526">
        <w:rPr>
          <w:rFonts w:ascii="PT Astra Serif" w:hAnsi="PT Astra Serif"/>
          <w:sz w:val="26"/>
          <w:szCs w:val="26"/>
        </w:rPr>
        <w:t>звещения, в частности требования к наличию опыта исполнения договора, предусматривающего выполнение работ по сохранению объектов культурного наследия, при которых затрагиваются и не затрагиваются конструктивные и другие характеристики надежности и безопасности таких объектов, предоставление соответствующих документов в подтверждение факта выполнения работ по сохранению объекта культурного наследия, наличие лицензии на осуществление деятельности по сохранению объектов культурного наследия предполагаемых к проведению видов рабо</w:t>
      </w:r>
      <w:r>
        <w:rPr>
          <w:rFonts w:ascii="PT Astra Serif" w:hAnsi="PT Astra Serif"/>
          <w:sz w:val="26"/>
          <w:szCs w:val="26"/>
        </w:rPr>
        <w:t>т.</w:t>
      </w:r>
    </w:p>
    <w:p w:rsidR="00080526" w:rsidRDefault="00080526" w:rsidP="000805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0526">
        <w:rPr>
          <w:rFonts w:ascii="PT Astra Serif" w:hAnsi="PT Astra Serif"/>
          <w:sz w:val="26"/>
          <w:szCs w:val="26"/>
        </w:rPr>
        <w:t>Таким образом, в соответствии с положениями части 2 статьи 31 Закона № 44-ФЗ в Извещении приведены установленные Правительством Российской Федерации в Постановлении № 2571 и статьей 45 Закона № 73-ФЗ дополнительные требования к участникам закупки.</w:t>
      </w:r>
    </w:p>
    <w:p w:rsidR="00080526" w:rsidRDefault="00080526" w:rsidP="0008052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таких обстоятельствах </w:t>
      </w:r>
      <w:r w:rsidRPr="00080526">
        <w:rPr>
          <w:rFonts w:ascii="PT Astra Serif" w:hAnsi="PT Astra Serif"/>
          <w:sz w:val="26"/>
          <w:szCs w:val="26"/>
        </w:rPr>
        <w:t xml:space="preserve">у судов первой и апелляционной инстанций отсутствовали основания для признания недействительным определения подрядчика способом проведения электронного аукциона по условиям, </w:t>
      </w:r>
      <w:r>
        <w:rPr>
          <w:rFonts w:ascii="PT Astra Serif" w:hAnsi="PT Astra Serif"/>
          <w:sz w:val="26"/>
          <w:szCs w:val="26"/>
        </w:rPr>
        <w:t>установленным</w:t>
      </w:r>
      <w:r w:rsidRPr="00080526"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>и</w:t>
      </w:r>
      <w:bookmarkStart w:id="0" w:name="_GoBack"/>
      <w:bookmarkEnd w:id="0"/>
      <w:r w:rsidRPr="00080526">
        <w:rPr>
          <w:rFonts w:ascii="PT Astra Serif" w:hAnsi="PT Astra Serif"/>
          <w:sz w:val="26"/>
          <w:szCs w:val="26"/>
        </w:rPr>
        <w:t>звещении.</w:t>
      </w:r>
    </w:p>
    <w:sectPr w:rsidR="00080526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C5B" w:rsidRDefault="00232C5B" w:rsidP="00DF12FF">
      <w:r>
        <w:separator/>
      </w:r>
    </w:p>
  </w:endnote>
  <w:endnote w:type="continuationSeparator" w:id="0">
    <w:p w:rsidR="00232C5B" w:rsidRDefault="00232C5B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altName w:val="Haettenschweiler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C5B" w:rsidRDefault="00232C5B" w:rsidP="00DF12FF">
      <w:r>
        <w:separator/>
      </w:r>
    </w:p>
  </w:footnote>
  <w:footnote w:type="continuationSeparator" w:id="0">
    <w:p w:rsidR="00232C5B" w:rsidRDefault="00232C5B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411">
          <w:rPr>
            <w:noProof/>
          </w:rPr>
          <w:t>4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30"/>
  </w:num>
  <w:num w:numId="3">
    <w:abstractNumId w:val="18"/>
  </w:num>
  <w:num w:numId="4">
    <w:abstractNumId w:val="4"/>
  </w:num>
  <w:num w:numId="5">
    <w:abstractNumId w:val="6"/>
  </w:num>
  <w:num w:numId="6">
    <w:abstractNumId w:val="22"/>
  </w:num>
  <w:num w:numId="7">
    <w:abstractNumId w:val="25"/>
  </w:num>
  <w:num w:numId="8">
    <w:abstractNumId w:val="13"/>
  </w:num>
  <w:num w:numId="9">
    <w:abstractNumId w:val="14"/>
  </w:num>
  <w:num w:numId="10">
    <w:abstractNumId w:val="10"/>
  </w:num>
  <w:num w:numId="11">
    <w:abstractNumId w:val="24"/>
  </w:num>
  <w:num w:numId="12">
    <w:abstractNumId w:val="32"/>
  </w:num>
  <w:num w:numId="13">
    <w:abstractNumId w:val="7"/>
  </w:num>
  <w:num w:numId="14">
    <w:abstractNumId w:val="1"/>
  </w:num>
  <w:num w:numId="15">
    <w:abstractNumId w:val="29"/>
  </w:num>
  <w:num w:numId="16">
    <w:abstractNumId w:val="17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1"/>
  </w:num>
  <w:num w:numId="22">
    <w:abstractNumId w:val="16"/>
  </w:num>
  <w:num w:numId="23">
    <w:abstractNumId w:val="27"/>
  </w:num>
  <w:num w:numId="24">
    <w:abstractNumId w:val="2"/>
  </w:num>
  <w:num w:numId="25">
    <w:abstractNumId w:val="0"/>
  </w:num>
  <w:num w:numId="26">
    <w:abstractNumId w:val="19"/>
  </w:num>
  <w:num w:numId="27">
    <w:abstractNumId w:val="15"/>
  </w:num>
  <w:num w:numId="28">
    <w:abstractNumId w:val="26"/>
  </w:num>
  <w:num w:numId="29">
    <w:abstractNumId w:val="20"/>
  </w:num>
  <w:num w:numId="30">
    <w:abstractNumId w:val="12"/>
  </w:num>
  <w:num w:numId="31">
    <w:abstractNumId w:val="9"/>
  </w:num>
  <w:num w:numId="32">
    <w:abstractNumId w:val="31"/>
  </w:num>
  <w:num w:numId="33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D26"/>
    <w:rsid w:val="0003187F"/>
    <w:rsid w:val="00033143"/>
    <w:rsid w:val="00034180"/>
    <w:rsid w:val="00035E2F"/>
    <w:rsid w:val="00035F38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1E08"/>
    <w:rsid w:val="000B3666"/>
    <w:rsid w:val="000B3974"/>
    <w:rsid w:val="000B44D6"/>
    <w:rsid w:val="000B79FA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AB6"/>
    <w:rsid w:val="000E1183"/>
    <w:rsid w:val="000E2261"/>
    <w:rsid w:val="000E2F39"/>
    <w:rsid w:val="000E30A0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4152"/>
    <w:rsid w:val="00144660"/>
    <w:rsid w:val="00145E7F"/>
    <w:rsid w:val="0014716C"/>
    <w:rsid w:val="00150ED4"/>
    <w:rsid w:val="001515AD"/>
    <w:rsid w:val="001519C8"/>
    <w:rsid w:val="00153B04"/>
    <w:rsid w:val="00154FE4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5E29"/>
    <w:rsid w:val="00300D8A"/>
    <w:rsid w:val="00301007"/>
    <w:rsid w:val="00301760"/>
    <w:rsid w:val="0030223B"/>
    <w:rsid w:val="0030283C"/>
    <w:rsid w:val="003036CE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4388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74FB"/>
    <w:rsid w:val="0037258B"/>
    <w:rsid w:val="00373625"/>
    <w:rsid w:val="00376586"/>
    <w:rsid w:val="00377B0B"/>
    <w:rsid w:val="00380711"/>
    <w:rsid w:val="003814C3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751"/>
    <w:rsid w:val="003C2DBC"/>
    <w:rsid w:val="003C403D"/>
    <w:rsid w:val="003C530F"/>
    <w:rsid w:val="003C584C"/>
    <w:rsid w:val="003C58FA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2009C"/>
    <w:rsid w:val="00420622"/>
    <w:rsid w:val="0042169D"/>
    <w:rsid w:val="00421B9F"/>
    <w:rsid w:val="00421C6B"/>
    <w:rsid w:val="004224F3"/>
    <w:rsid w:val="00424666"/>
    <w:rsid w:val="004307D9"/>
    <w:rsid w:val="004335C4"/>
    <w:rsid w:val="00433752"/>
    <w:rsid w:val="00433D3C"/>
    <w:rsid w:val="004367B7"/>
    <w:rsid w:val="00437731"/>
    <w:rsid w:val="00437E84"/>
    <w:rsid w:val="0044333F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68F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791"/>
    <w:rsid w:val="00505F56"/>
    <w:rsid w:val="00507E25"/>
    <w:rsid w:val="00511E02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61BB"/>
    <w:rsid w:val="006D6CF6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73C"/>
    <w:rsid w:val="00700C29"/>
    <w:rsid w:val="00700DF1"/>
    <w:rsid w:val="0070110A"/>
    <w:rsid w:val="00701818"/>
    <w:rsid w:val="00706E3E"/>
    <w:rsid w:val="0071058F"/>
    <w:rsid w:val="007105DC"/>
    <w:rsid w:val="00711D9A"/>
    <w:rsid w:val="00711EC9"/>
    <w:rsid w:val="00712496"/>
    <w:rsid w:val="007139D3"/>
    <w:rsid w:val="00714354"/>
    <w:rsid w:val="00716216"/>
    <w:rsid w:val="00717496"/>
    <w:rsid w:val="007219CC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F5E"/>
    <w:rsid w:val="0084070A"/>
    <w:rsid w:val="008418D3"/>
    <w:rsid w:val="008425A1"/>
    <w:rsid w:val="008430AE"/>
    <w:rsid w:val="00843603"/>
    <w:rsid w:val="008438FF"/>
    <w:rsid w:val="00843C8F"/>
    <w:rsid w:val="0084467D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1BDA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12413"/>
    <w:rsid w:val="00912623"/>
    <w:rsid w:val="00912D09"/>
    <w:rsid w:val="009154A1"/>
    <w:rsid w:val="00915C7E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1599"/>
    <w:rsid w:val="009A1625"/>
    <w:rsid w:val="009A22D6"/>
    <w:rsid w:val="009A386B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C2FCB"/>
    <w:rsid w:val="009C3602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78D"/>
    <w:rsid w:val="00C43522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430A"/>
    <w:rsid w:val="00C844F5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97D"/>
    <w:rsid w:val="00CA3013"/>
    <w:rsid w:val="00CA32AA"/>
    <w:rsid w:val="00CA32C9"/>
    <w:rsid w:val="00CA3778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BF"/>
    <w:rsid w:val="00CF3AF5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D2427"/>
    <w:rsid w:val="00DD247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65037-76C7-4E89-A249-5B427759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3044</TotalTime>
  <Pages>4</Pages>
  <Words>1634</Words>
  <Characters>9314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279</cp:revision>
  <cp:lastPrinted>2024-04-22T09:17:00Z</cp:lastPrinted>
  <dcterms:created xsi:type="dcterms:W3CDTF">2023-10-09T01:54:00Z</dcterms:created>
  <dcterms:modified xsi:type="dcterms:W3CDTF">2024-04-22T10:15:00Z</dcterms:modified>
</cp:coreProperties>
</file>