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bookmarkStart w:id="0" w:name="_GoBack"/>
      <w:bookmarkEnd w:id="0"/>
      <w:r w:rsidRPr="00202938">
        <w:rPr>
          <w:rFonts w:ascii="PT Astra Serif" w:hAnsi="PT Astra Serif"/>
          <w:b/>
          <w:color w:val="000000" w:themeColor="text1"/>
        </w:rPr>
        <w:t xml:space="preserve">МОНИТОРИНГ на </w:t>
      </w:r>
      <w:r w:rsidR="000C76DD">
        <w:rPr>
          <w:rFonts w:ascii="PT Astra Serif" w:hAnsi="PT Astra Serif"/>
          <w:b/>
          <w:color w:val="000000" w:themeColor="text1"/>
        </w:rPr>
        <w:t>0</w:t>
      </w:r>
      <w:r w:rsidR="00B30353">
        <w:rPr>
          <w:rFonts w:ascii="PT Astra Serif" w:hAnsi="PT Astra Serif"/>
          <w:b/>
          <w:color w:val="000000" w:themeColor="text1"/>
        </w:rPr>
        <w:t>9</w:t>
      </w:r>
      <w:r w:rsidR="004D1DC5">
        <w:rPr>
          <w:rFonts w:ascii="PT Astra Serif" w:hAnsi="PT Astra Serif"/>
          <w:b/>
          <w:color w:val="000000" w:themeColor="text1"/>
        </w:rPr>
        <w:t>.0</w:t>
      </w:r>
      <w:r w:rsidR="000C76DD">
        <w:rPr>
          <w:rFonts w:ascii="PT Astra Serif" w:hAnsi="PT Astra Serif"/>
          <w:b/>
          <w:color w:val="000000" w:themeColor="text1"/>
        </w:rPr>
        <w:t>9</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F22A47" w:rsidRPr="00E82117" w:rsidTr="00A750BD">
        <w:trPr>
          <w:trHeight w:val="70"/>
        </w:trPr>
        <w:tc>
          <w:tcPr>
            <w:tcW w:w="10206" w:type="dxa"/>
            <w:gridSpan w:val="2"/>
          </w:tcPr>
          <w:p w:rsidR="00F22A47" w:rsidRPr="00E82117" w:rsidRDefault="00B30353" w:rsidP="00F03324">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Постановление Правительства РФ от 03.09.2024 № 1215</w:t>
            </w:r>
          </w:p>
        </w:tc>
      </w:tr>
      <w:tr w:rsidR="00F22A47" w:rsidRPr="00582FD6" w:rsidTr="00A750BD">
        <w:trPr>
          <w:trHeight w:val="70"/>
        </w:trPr>
        <w:tc>
          <w:tcPr>
            <w:tcW w:w="10206" w:type="dxa"/>
            <w:gridSpan w:val="2"/>
          </w:tcPr>
          <w:p w:rsidR="00F22A47" w:rsidRPr="00582FD6" w:rsidRDefault="00B30353" w:rsidP="000C76DD">
            <w:pPr>
              <w:tabs>
                <w:tab w:val="left" w:pos="1095"/>
              </w:tabs>
              <w:ind w:firstLine="708"/>
              <w:jc w:val="both"/>
              <w:rPr>
                <w:rFonts w:ascii="PT Astra Serif" w:hAnsi="PT Astra Serif"/>
                <w:sz w:val="26"/>
                <w:szCs w:val="26"/>
              </w:rPr>
            </w:pPr>
            <w:r>
              <w:rPr>
                <w:rFonts w:ascii="PT Astra Serif" w:hAnsi="PT Astra Serif"/>
                <w:sz w:val="26"/>
                <w:szCs w:val="26"/>
              </w:rPr>
              <w:t>Уточнены минимальные размеры цен контрактов, которые могут быть изменены по соглашению сторон в случае существенного изменения обстоятельств</w:t>
            </w:r>
          </w:p>
        </w:tc>
      </w:tr>
      <w:tr w:rsidR="007A43B0" w:rsidRPr="00E82117" w:rsidTr="008E38CE">
        <w:trPr>
          <w:trHeight w:val="70"/>
        </w:trPr>
        <w:tc>
          <w:tcPr>
            <w:tcW w:w="10206" w:type="dxa"/>
            <w:gridSpan w:val="2"/>
          </w:tcPr>
          <w:p w:rsidR="007A43B0" w:rsidRPr="00E82117" w:rsidRDefault="00B30353" w:rsidP="007A43B0">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Минстроя России от 29.08.2024 № 50069-СМ/09</w:t>
            </w:r>
          </w:p>
        </w:tc>
      </w:tr>
      <w:tr w:rsidR="007A43B0" w:rsidRPr="00582FD6" w:rsidTr="008E38CE">
        <w:trPr>
          <w:trHeight w:val="70"/>
        </w:trPr>
        <w:tc>
          <w:tcPr>
            <w:tcW w:w="10206" w:type="dxa"/>
            <w:gridSpan w:val="2"/>
          </w:tcPr>
          <w:p w:rsidR="007A43B0" w:rsidRPr="00582FD6" w:rsidRDefault="00B30353" w:rsidP="007A43B0">
            <w:pPr>
              <w:tabs>
                <w:tab w:val="left" w:pos="1095"/>
              </w:tabs>
              <w:ind w:firstLine="708"/>
              <w:jc w:val="both"/>
              <w:rPr>
                <w:rFonts w:ascii="PT Astra Serif" w:hAnsi="PT Astra Serif"/>
                <w:sz w:val="26"/>
                <w:szCs w:val="26"/>
              </w:rPr>
            </w:pPr>
            <w:r>
              <w:rPr>
                <w:rFonts w:ascii="PT Astra Serif" w:hAnsi="PT Astra Serif"/>
                <w:sz w:val="26"/>
                <w:szCs w:val="26"/>
              </w:rPr>
              <w:t>Минстрой России разъяснил особенности пересчета сметной стоимости работ по строительным контрактам</w:t>
            </w:r>
          </w:p>
        </w:tc>
      </w:tr>
      <w:tr w:rsidR="009215B7" w:rsidRPr="00E82117" w:rsidTr="0087582F">
        <w:trPr>
          <w:trHeight w:val="70"/>
        </w:trPr>
        <w:tc>
          <w:tcPr>
            <w:tcW w:w="10206" w:type="dxa"/>
            <w:gridSpan w:val="2"/>
          </w:tcPr>
          <w:p w:rsidR="009215B7" w:rsidRPr="00E82117" w:rsidRDefault="00B30353" w:rsidP="00B30353">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 xml:space="preserve">Письмо Минстроя России от 22.08.2024 № 48593-ТБ/02 </w:t>
            </w:r>
          </w:p>
        </w:tc>
      </w:tr>
      <w:tr w:rsidR="009215B7" w:rsidRPr="00E82117" w:rsidTr="0087582F">
        <w:trPr>
          <w:trHeight w:val="70"/>
        </w:trPr>
        <w:tc>
          <w:tcPr>
            <w:tcW w:w="10206" w:type="dxa"/>
            <w:gridSpan w:val="2"/>
          </w:tcPr>
          <w:p w:rsidR="009215B7" w:rsidRPr="00582FD6" w:rsidRDefault="003818EC" w:rsidP="00B30353">
            <w:pPr>
              <w:tabs>
                <w:tab w:val="left" w:pos="1095"/>
              </w:tabs>
              <w:jc w:val="both"/>
              <w:rPr>
                <w:rFonts w:ascii="PT Astra Serif" w:hAnsi="PT Astra Serif"/>
                <w:sz w:val="26"/>
                <w:szCs w:val="26"/>
              </w:rPr>
            </w:pPr>
            <w:r>
              <w:rPr>
                <w:rFonts w:ascii="PT Astra Serif" w:hAnsi="PT Astra Serif"/>
                <w:sz w:val="26"/>
                <w:szCs w:val="26"/>
              </w:rPr>
              <w:t xml:space="preserve">           </w:t>
            </w:r>
            <w:r w:rsidR="00B30353">
              <w:rPr>
                <w:rFonts w:ascii="PT Astra Serif" w:hAnsi="PT Astra Serif"/>
                <w:sz w:val="26"/>
                <w:szCs w:val="26"/>
              </w:rPr>
              <w:t>Минстрой России разъяснил особенности ответственности СРО по требованиям о возмещении реального ущерба за счет средств компенсационного фонда</w:t>
            </w:r>
          </w:p>
        </w:tc>
      </w:tr>
      <w:tr w:rsidR="0001220B" w:rsidRPr="00E82117" w:rsidTr="00E73400">
        <w:trPr>
          <w:trHeight w:val="70"/>
        </w:trPr>
        <w:tc>
          <w:tcPr>
            <w:tcW w:w="10206" w:type="dxa"/>
            <w:gridSpan w:val="2"/>
          </w:tcPr>
          <w:p w:rsidR="0001220B" w:rsidRPr="00E82117" w:rsidRDefault="00B30353" w:rsidP="00FC5C4E">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15.08.2024 № 24-08-06/76561</w:t>
            </w:r>
          </w:p>
        </w:tc>
      </w:tr>
      <w:tr w:rsidR="0001220B" w:rsidRPr="00582FD6" w:rsidTr="00E73400">
        <w:trPr>
          <w:trHeight w:val="70"/>
        </w:trPr>
        <w:tc>
          <w:tcPr>
            <w:tcW w:w="10206" w:type="dxa"/>
            <w:gridSpan w:val="2"/>
          </w:tcPr>
          <w:p w:rsidR="0001220B" w:rsidRPr="00582FD6" w:rsidRDefault="00FC5C4E" w:rsidP="00B30353">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w:t>
            </w:r>
            <w:r w:rsidR="00B30353">
              <w:rPr>
                <w:rFonts w:ascii="PT Astra Serif" w:hAnsi="PT Astra Serif"/>
                <w:sz w:val="26"/>
                <w:szCs w:val="26"/>
              </w:rPr>
              <w:t>разъяснил вопросы уступки права требования оплаты по контракту</w:t>
            </w:r>
          </w:p>
        </w:tc>
      </w:tr>
      <w:tr w:rsidR="00B30353" w:rsidRPr="00E82117" w:rsidTr="008E38CE">
        <w:trPr>
          <w:trHeight w:val="70"/>
        </w:trPr>
        <w:tc>
          <w:tcPr>
            <w:tcW w:w="10206" w:type="dxa"/>
            <w:gridSpan w:val="2"/>
          </w:tcPr>
          <w:p w:rsidR="00B30353" w:rsidRPr="00E82117" w:rsidRDefault="00B30353" w:rsidP="00B30353">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01.08.2024 № 24-08-08/71743</w:t>
            </w:r>
          </w:p>
        </w:tc>
      </w:tr>
      <w:tr w:rsidR="00B30353" w:rsidRPr="00582FD6" w:rsidTr="008E38CE">
        <w:trPr>
          <w:trHeight w:val="70"/>
        </w:trPr>
        <w:tc>
          <w:tcPr>
            <w:tcW w:w="10206" w:type="dxa"/>
            <w:gridSpan w:val="2"/>
          </w:tcPr>
          <w:p w:rsidR="00B30353" w:rsidRPr="00582FD6" w:rsidRDefault="00B30353" w:rsidP="00B30353">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вопросы заключения контракта с ретроактивной оговоркой</w:t>
            </w:r>
          </w:p>
        </w:tc>
      </w:tr>
      <w:tr w:rsidR="009215B7" w:rsidRPr="00202938" w:rsidTr="0087582F">
        <w:trPr>
          <w:trHeight w:val="47"/>
        </w:trPr>
        <w:tc>
          <w:tcPr>
            <w:tcW w:w="10206" w:type="dxa"/>
            <w:gridSpan w:val="2"/>
          </w:tcPr>
          <w:p w:rsidR="009215B7" w:rsidRPr="00D25C5E" w:rsidRDefault="00562FF5" w:rsidP="002D2CE9">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 xml:space="preserve">Судебная </w:t>
            </w:r>
            <w:r w:rsidR="002968D9">
              <w:rPr>
                <w:rFonts w:ascii="PT Astra Serif" w:hAnsi="PT Astra Serif"/>
                <w:b/>
                <w:sz w:val="26"/>
                <w:szCs w:val="26"/>
              </w:rPr>
              <w:t>практика</w:t>
            </w:r>
          </w:p>
        </w:tc>
      </w:tr>
      <w:tr w:rsidR="00C71EFF" w:rsidTr="008E38CE">
        <w:trPr>
          <w:trHeight w:val="70"/>
        </w:trPr>
        <w:tc>
          <w:tcPr>
            <w:tcW w:w="4814" w:type="dxa"/>
          </w:tcPr>
          <w:p w:rsidR="00C71EFF" w:rsidRDefault="00C71EFF" w:rsidP="00581FDB">
            <w:pPr>
              <w:jc w:val="both"/>
              <w:rPr>
                <w:rFonts w:ascii="PT Astra Serif" w:hAnsi="PT Astra Serif"/>
                <w:i/>
                <w:sz w:val="26"/>
                <w:szCs w:val="26"/>
              </w:rPr>
            </w:pPr>
            <w:r>
              <w:rPr>
                <w:rFonts w:ascii="PT Astra Serif" w:hAnsi="PT Astra Serif"/>
                <w:i/>
                <w:sz w:val="26"/>
                <w:szCs w:val="26"/>
              </w:rPr>
              <w:t xml:space="preserve">Определение Верховного </w:t>
            </w:r>
            <w:r w:rsidR="00853CCD">
              <w:rPr>
                <w:rFonts w:ascii="PT Astra Serif" w:hAnsi="PT Astra Serif"/>
                <w:i/>
                <w:sz w:val="26"/>
                <w:szCs w:val="26"/>
              </w:rPr>
              <w:t>С</w:t>
            </w:r>
            <w:r>
              <w:rPr>
                <w:rFonts w:ascii="PT Astra Serif" w:hAnsi="PT Astra Serif"/>
                <w:i/>
                <w:sz w:val="26"/>
                <w:szCs w:val="26"/>
              </w:rPr>
              <w:t>уда Российской Феде</w:t>
            </w:r>
            <w:r w:rsidR="00581FDB">
              <w:rPr>
                <w:rFonts w:ascii="PT Astra Serif" w:hAnsi="PT Astra Serif"/>
                <w:i/>
                <w:sz w:val="26"/>
                <w:szCs w:val="26"/>
              </w:rPr>
              <w:t xml:space="preserve">рации от 28.08.2024 по делу </w:t>
            </w:r>
            <w:r>
              <w:rPr>
                <w:rFonts w:ascii="PT Astra Serif" w:hAnsi="PT Astra Serif"/>
                <w:i/>
                <w:sz w:val="26"/>
                <w:szCs w:val="26"/>
              </w:rPr>
              <w:t>№ 30</w:t>
            </w:r>
            <w:r w:rsidR="00853CCD">
              <w:rPr>
                <w:rFonts w:ascii="PT Astra Serif" w:hAnsi="PT Astra Serif"/>
                <w:i/>
                <w:sz w:val="26"/>
                <w:szCs w:val="26"/>
              </w:rPr>
              <w:t>5</w:t>
            </w:r>
            <w:r>
              <w:rPr>
                <w:rFonts w:ascii="PT Astra Serif" w:hAnsi="PT Astra Serif"/>
                <w:i/>
                <w:sz w:val="26"/>
                <w:szCs w:val="26"/>
              </w:rPr>
              <w:t>-ЭС24-</w:t>
            </w:r>
            <w:r w:rsidR="00853CCD">
              <w:rPr>
                <w:rFonts w:ascii="PT Astra Serif" w:hAnsi="PT Astra Serif"/>
                <w:i/>
                <w:sz w:val="26"/>
                <w:szCs w:val="26"/>
              </w:rPr>
              <w:t>4945</w:t>
            </w:r>
          </w:p>
        </w:tc>
        <w:tc>
          <w:tcPr>
            <w:tcW w:w="5392" w:type="dxa"/>
          </w:tcPr>
          <w:p w:rsidR="00C71EFF" w:rsidRDefault="00C71EFF" w:rsidP="008E38CE">
            <w:pPr>
              <w:jc w:val="both"/>
              <w:rPr>
                <w:rFonts w:ascii="PT Astra Serif" w:hAnsi="PT Astra Serif"/>
                <w:sz w:val="26"/>
                <w:szCs w:val="26"/>
              </w:rPr>
            </w:pPr>
            <w:r>
              <w:rPr>
                <w:rFonts w:ascii="PT Astra Serif" w:hAnsi="PT Astra Serif"/>
                <w:sz w:val="26"/>
                <w:szCs w:val="26"/>
              </w:rPr>
              <w:t>Списание начисленных и неуплаченных сумм неустоек Заказчиком в соответствии с подпунктом «а» пункта 3 Правил № 783 до момента исполнения Поставщиком обязательств по контракту невозможно</w:t>
            </w:r>
          </w:p>
        </w:tc>
      </w:tr>
    </w:tbl>
    <w:p w:rsidR="00E27A1B" w:rsidRPr="00B30353" w:rsidRDefault="00E27A1B" w:rsidP="009B7B76">
      <w:pPr>
        <w:ind w:firstLine="709"/>
        <w:jc w:val="both"/>
        <w:rPr>
          <w:rFonts w:ascii="PT Astra Serif" w:hAnsi="PT Astra Serif"/>
          <w:i/>
          <w:sz w:val="26"/>
          <w:szCs w:val="26"/>
        </w:rPr>
      </w:pPr>
    </w:p>
    <w:p w:rsidR="00B30353" w:rsidRPr="00B30353" w:rsidRDefault="00B30353">
      <w:pPr>
        <w:tabs>
          <w:tab w:val="left" w:pos="4410"/>
        </w:tabs>
        <w:ind w:firstLine="709"/>
        <w:jc w:val="both"/>
        <w:rPr>
          <w:rFonts w:ascii="PT Astra Serif" w:hAnsi="PT Astra Serif"/>
          <w:i/>
          <w:sz w:val="26"/>
          <w:szCs w:val="26"/>
        </w:rPr>
      </w:pPr>
      <w:r w:rsidRPr="00B30353">
        <w:rPr>
          <w:rFonts w:ascii="PT Astra Serif" w:hAnsi="PT Astra Serif"/>
          <w:i/>
          <w:sz w:val="26"/>
          <w:szCs w:val="26"/>
        </w:rPr>
        <w:t>Постановление Правительства РФ от 03.09.2024 № 1215 «О внесении изменений в постановление Правительства Российской Федерации от 19 декабря 2013 г. № 1186»</w:t>
      </w:r>
    </w:p>
    <w:p w:rsidR="000C76DD" w:rsidRDefault="00B30353">
      <w:pPr>
        <w:tabs>
          <w:tab w:val="left" w:pos="4410"/>
        </w:tabs>
        <w:ind w:firstLine="709"/>
        <w:jc w:val="both"/>
        <w:rPr>
          <w:rFonts w:ascii="PT Astra Serif" w:hAnsi="PT Astra Serif"/>
          <w:sz w:val="26"/>
          <w:szCs w:val="26"/>
        </w:rPr>
      </w:pPr>
      <w:r w:rsidRPr="00B30353">
        <w:rPr>
          <w:rFonts w:ascii="PT Astra Serif" w:hAnsi="PT Astra Serif"/>
          <w:sz w:val="26"/>
          <w:szCs w:val="26"/>
        </w:rPr>
        <w:t>Уточнены минимальные размеры цен контрактов, которые могут быть изменены по соглашению сторон в случае существенного изменения обстоятельств</w:t>
      </w:r>
      <w:r>
        <w:rPr>
          <w:rFonts w:ascii="PT Astra Serif" w:hAnsi="PT Astra Serif"/>
          <w:sz w:val="26"/>
          <w:szCs w:val="26"/>
        </w:rPr>
        <w:t>, утвержденные постановлением Правительства РФ № 1186.</w:t>
      </w:r>
    </w:p>
    <w:p w:rsidR="00B30353" w:rsidRDefault="00B30353">
      <w:pPr>
        <w:tabs>
          <w:tab w:val="left" w:pos="4410"/>
        </w:tabs>
        <w:ind w:firstLine="709"/>
        <w:jc w:val="both"/>
        <w:rPr>
          <w:rFonts w:ascii="PT Astra Serif" w:hAnsi="PT Astra Serif"/>
          <w:sz w:val="26"/>
          <w:szCs w:val="26"/>
        </w:rPr>
      </w:pPr>
      <w:r>
        <w:rPr>
          <w:rFonts w:ascii="PT Astra Serif" w:hAnsi="PT Astra Serif"/>
          <w:sz w:val="26"/>
          <w:szCs w:val="26"/>
        </w:rPr>
        <w:t>Постановление устанавливает возможность изменения существенных условий контракта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 в случаях, предусмотренных постановлением Правительства РФ № 1186, если размер цены контракта равен или превышает:</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1 млн рублей</w:t>
      </w:r>
      <w:r>
        <w:rPr>
          <w:rFonts w:ascii="PT Astra Serif" w:hAnsi="PT Astra Serif"/>
          <w:sz w:val="26"/>
          <w:szCs w:val="26"/>
        </w:rPr>
        <w:t xml:space="preserve"> </w:t>
      </w:r>
      <w:r w:rsidRPr="00B30353">
        <w:rPr>
          <w:rFonts w:ascii="PT Astra Serif" w:hAnsi="PT Astra Serif"/>
          <w:sz w:val="26"/>
          <w:szCs w:val="26"/>
        </w:rPr>
        <w:t>для государственного контракта, заключенного на срок не менее чем 3 года;</w:t>
      </w:r>
    </w:p>
    <w:p w:rsid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100 </w:t>
      </w:r>
      <w:r w:rsidRPr="00B30353">
        <w:rPr>
          <w:rFonts w:ascii="PT Astra Serif" w:hAnsi="PT Astra Serif" w:cs="PT Astra Serif"/>
          <w:sz w:val="26"/>
          <w:szCs w:val="26"/>
        </w:rPr>
        <w:t>тыс</w:t>
      </w:r>
      <w:r w:rsidRPr="00B30353">
        <w:rPr>
          <w:rFonts w:ascii="PT Astra Serif" w:hAnsi="PT Astra Serif"/>
          <w:sz w:val="26"/>
          <w:szCs w:val="26"/>
        </w:rPr>
        <w:t xml:space="preserve">. </w:t>
      </w:r>
      <w:r w:rsidRPr="00B30353">
        <w:rPr>
          <w:rFonts w:ascii="PT Astra Serif" w:hAnsi="PT Astra Serif" w:cs="PT Astra Serif"/>
          <w:sz w:val="26"/>
          <w:szCs w:val="26"/>
        </w:rPr>
        <w:t>рублей</w:t>
      </w:r>
      <w:r w:rsidRPr="00B30353">
        <w:rPr>
          <w:rFonts w:ascii="PT Astra Serif" w:hAnsi="PT Astra Serif"/>
          <w:sz w:val="26"/>
          <w:szCs w:val="26"/>
        </w:rPr>
        <w:t xml:space="preserve"> </w:t>
      </w:r>
      <w:r w:rsidRPr="00B30353">
        <w:rPr>
          <w:rFonts w:ascii="PT Astra Serif" w:hAnsi="PT Astra Serif" w:cs="PT Astra Serif"/>
          <w:sz w:val="26"/>
          <w:szCs w:val="26"/>
        </w:rPr>
        <w:t>для</w:t>
      </w:r>
      <w:r w:rsidRPr="00B30353">
        <w:rPr>
          <w:rFonts w:ascii="PT Astra Serif" w:hAnsi="PT Astra Serif"/>
          <w:sz w:val="26"/>
          <w:szCs w:val="26"/>
        </w:rPr>
        <w:t xml:space="preserve"> </w:t>
      </w:r>
      <w:r w:rsidRPr="00B30353">
        <w:rPr>
          <w:rFonts w:ascii="PT Astra Serif" w:hAnsi="PT Astra Serif" w:cs="PT Astra Serif"/>
          <w:sz w:val="26"/>
          <w:szCs w:val="26"/>
        </w:rPr>
        <w:t>муниципального</w:t>
      </w:r>
      <w:r w:rsidRPr="00B30353">
        <w:rPr>
          <w:rFonts w:ascii="PT Astra Serif" w:hAnsi="PT Astra Serif"/>
          <w:sz w:val="26"/>
          <w:szCs w:val="26"/>
        </w:rPr>
        <w:t xml:space="preserve"> </w:t>
      </w:r>
      <w:r w:rsidRPr="00B30353">
        <w:rPr>
          <w:rFonts w:ascii="PT Astra Serif" w:hAnsi="PT Astra Serif" w:cs="PT Astra Serif"/>
          <w:sz w:val="26"/>
          <w:szCs w:val="26"/>
        </w:rPr>
        <w:t>контракта</w:t>
      </w:r>
      <w:r w:rsidRPr="00B30353">
        <w:rPr>
          <w:rFonts w:ascii="PT Astra Serif" w:hAnsi="PT Astra Serif"/>
          <w:sz w:val="26"/>
          <w:szCs w:val="26"/>
        </w:rPr>
        <w:t xml:space="preserve">, </w:t>
      </w:r>
      <w:r w:rsidRPr="00B30353">
        <w:rPr>
          <w:rFonts w:ascii="PT Astra Serif" w:hAnsi="PT Astra Serif" w:cs="PT Astra Serif"/>
          <w:sz w:val="26"/>
          <w:szCs w:val="26"/>
        </w:rPr>
        <w:t>заключенного</w:t>
      </w:r>
      <w:r w:rsidRPr="00B30353">
        <w:rPr>
          <w:rFonts w:ascii="PT Astra Serif" w:hAnsi="PT Astra Serif"/>
          <w:sz w:val="26"/>
          <w:szCs w:val="26"/>
        </w:rPr>
        <w:t xml:space="preserve"> </w:t>
      </w:r>
      <w:r w:rsidRPr="00B30353">
        <w:rPr>
          <w:rFonts w:ascii="PT Astra Serif" w:hAnsi="PT Astra Serif" w:cs="PT Astra Serif"/>
          <w:sz w:val="26"/>
          <w:szCs w:val="26"/>
        </w:rPr>
        <w:t>на</w:t>
      </w:r>
      <w:r w:rsidRPr="00B30353">
        <w:rPr>
          <w:rFonts w:ascii="PT Astra Serif" w:hAnsi="PT Astra Serif"/>
          <w:sz w:val="26"/>
          <w:szCs w:val="26"/>
        </w:rPr>
        <w:t xml:space="preserve"> </w:t>
      </w:r>
      <w:r w:rsidRPr="00B30353">
        <w:rPr>
          <w:rFonts w:ascii="PT Astra Serif" w:hAnsi="PT Astra Serif" w:cs="PT Astra Serif"/>
          <w:sz w:val="26"/>
          <w:szCs w:val="26"/>
        </w:rPr>
        <w:t>срок</w:t>
      </w:r>
      <w:r w:rsidRPr="00B30353">
        <w:rPr>
          <w:rFonts w:ascii="PT Astra Serif" w:hAnsi="PT Astra Serif"/>
          <w:sz w:val="26"/>
          <w:szCs w:val="26"/>
        </w:rPr>
        <w:t xml:space="preserve"> </w:t>
      </w:r>
      <w:r w:rsidRPr="00B30353">
        <w:rPr>
          <w:rFonts w:ascii="PT Astra Serif" w:hAnsi="PT Astra Serif" w:cs="PT Astra Serif"/>
          <w:sz w:val="26"/>
          <w:szCs w:val="26"/>
        </w:rPr>
        <w:t>не</w:t>
      </w:r>
      <w:r w:rsidRPr="00B30353">
        <w:rPr>
          <w:rFonts w:ascii="PT Astra Serif" w:hAnsi="PT Astra Serif"/>
          <w:sz w:val="26"/>
          <w:szCs w:val="26"/>
        </w:rPr>
        <w:t xml:space="preserve"> </w:t>
      </w:r>
      <w:r w:rsidRPr="00B30353">
        <w:rPr>
          <w:rFonts w:ascii="PT Astra Serif" w:hAnsi="PT Astra Serif" w:cs="PT Astra Serif"/>
          <w:sz w:val="26"/>
          <w:szCs w:val="26"/>
        </w:rPr>
        <w:t>менее</w:t>
      </w:r>
      <w:r w:rsidRPr="00B30353">
        <w:rPr>
          <w:rFonts w:ascii="PT Astra Serif" w:hAnsi="PT Astra Serif"/>
          <w:sz w:val="26"/>
          <w:szCs w:val="26"/>
        </w:rPr>
        <w:t xml:space="preserve"> </w:t>
      </w:r>
      <w:r w:rsidRPr="00B30353">
        <w:rPr>
          <w:rFonts w:ascii="PT Astra Serif" w:hAnsi="PT Astra Serif" w:cs="PT Astra Serif"/>
          <w:sz w:val="26"/>
          <w:szCs w:val="26"/>
        </w:rPr>
        <w:t>чем</w:t>
      </w:r>
      <w:r w:rsidRPr="00B30353">
        <w:rPr>
          <w:rFonts w:ascii="PT Astra Serif" w:hAnsi="PT Astra Serif"/>
          <w:sz w:val="26"/>
          <w:szCs w:val="26"/>
        </w:rPr>
        <w:t xml:space="preserve"> 1 </w:t>
      </w:r>
      <w:r w:rsidRPr="00B30353">
        <w:rPr>
          <w:rFonts w:ascii="PT Astra Serif" w:hAnsi="PT Astra Serif" w:cs="PT Astra Serif"/>
          <w:sz w:val="26"/>
          <w:szCs w:val="26"/>
        </w:rPr>
        <w:t>год</w:t>
      </w:r>
      <w:r w:rsidRPr="00B30353">
        <w:rPr>
          <w:rFonts w:ascii="PT Astra Serif" w:hAnsi="PT Astra Serif"/>
          <w:sz w:val="26"/>
          <w:szCs w:val="26"/>
        </w:rPr>
        <w:t>.</w:t>
      </w:r>
    </w:p>
    <w:p w:rsidR="00B30353" w:rsidRDefault="00B30353" w:rsidP="00B30353">
      <w:pPr>
        <w:tabs>
          <w:tab w:val="left" w:pos="4410"/>
        </w:tabs>
        <w:ind w:firstLine="709"/>
        <w:jc w:val="both"/>
        <w:rPr>
          <w:rFonts w:ascii="PT Astra Serif" w:hAnsi="PT Astra Serif"/>
          <w:sz w:val="26"/>
          <w:szCs w:val="26"/>
        </w:rPr>
      </w:pPr>
      <w:r>
        <w:rPr>
          <w:rFonts w:ascii="PT Astra Serif" w:hAnsi="PT Astra Serif"/>
          <w:sz w:val="26"/>
          <w:szCs w:val="26"/>
        </w:rPr>
        <w:t>Постановление вступает в силу 11.09.2024</w:t>
      </w:r>
    </w:p>
    <w:p w:rsidR="00B30353" w:rsidRDefault="00B30353" w:rsidP="00B30353">
      <w:pPr>
        <w:tabs>
          <w:tab w:val="left" w:pos="4410"/>
        </w:tabs>
        <w:ind w:firstLine="709"/>
        <w:jc w:val="both"/>
        <w:rPr>
          <w:rFonts w:ascii="PT Astra Serif" w:hAnsi="PT Astra Serif"/>
          <w:sz w:val="26"/>
          <w:szCs w:val="26"/>
        </w:rPr>
      </w:pPr>
    </w:p>
    <w:p w:rsidR="00E27A1B" w:rsidRDefault="00B30353" w:rsidP="00E46F99">
      <w:pPr>
        <w:tabs>
          <w:tab w:val="left" w:pos="4410"/>
        </w:tabs>
        <w:ind w:firstLine="709"/>
        <w:jc w:val="both"/>
        <w:rPr>
          <w:rFonts w:ascii="PT Astra Serif" w:hAnsi="PT Astra Serif"/>
          <w:i/>
          <w:sz w:val="26"/>
          <w:szCs w:val="26"/>
        </w:rPr>
      </w:pPr>
      <w:r w:rsidRPr="00B30353">
        <w:rPr>
          <w:rFonts w:ascii="PT Astra Serif" w:hAnsi="PT Astra Serif"/>
          <w:i/>
          <w:sz w:val="26"/>
          <w:szCs w:val="26"/>
        </w:rPr>
        <w:t>Письмо Минстроя России от 29.08.2024 № 50069-СМ/09 «О пересчете сметной стоимости работ по строительству, реконструкции, капитальному ремонту, сносу объектов капительного строительства, работ по сохранению культурного наследия народов РФ»</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Минстрой России разъяснил особенности пересчета сметной стоимости работ по строительным контрактам.</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Из положений пунктов 8 и 22 Порядка </w:t>
      </w:r>
      <w:r>
        <w:rPr>
          <w:rFonts w:ascii="PT Astra Serif" w:hAnsi="PT Astra Serif"/>
          <w:sz w:val="26"/>
          <w:szCs w:val="26"/>
        </w:rPr>
        <w:t>№</w:t>
      </w:r>
      <w:r w:rsidRPr="00B30353">
        <w:rPr>
          <w:rFonts w:ascii="PT Astra Serif" w:hAnsi="PT Astra Serif"/>
          <w:sz w:val="26"/>
          <w:szCs w:val="26"/>
        </w:rPr>
        <w:t xml:space="preserve"> 841/пр следует, что для определения НМЦК при осуществлении закупки подрядных работ сметная стоимость подрядных работ должна быть переведена из уровня цен на дату утверждения проектной документации в уровень цен </w:t>
      </w:r>
      <w:r w:rsidRPr="00B30353">
        <w:rPr>
          <w:rFonts w:ascii="PT Astra Serif" w:hAnsi="PT Astra Serif"/>
          <w:sz w:val="26"/>
          <w:szCs w:val="26"/>
        </w:rPr>
        <w:lastRenderedPageBreak/>
        <w:t>на дату определения НМЦК, а также из уровня цен на дату определения НМЦК в уровень цен соответствующего периода реализации проекта.</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1. Сметная стоимость подрядных работ переводится из уровня цен на дату утверждения проектной документации в уровень цен на дату определения НМЦК:</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1) с применением официальной статистической информации об индексах цен на продукцию (затраты, услуги) инвестиционного назначения по видам экономической деятельности (строительство), публикуемой Росстатом для соответствующего периода в целом по Российской Федерации или индексов фактической инфляции (при наличии), установленных уполномоченными органами исполнительной власти субъектов Российской Федерации, в случае осуществления закупок за счет средств бюджета субъекта Российской Федерации (далее - индекс фактической инфляции) (абзац первый подпункта </w:t>
      </w:r>
      <w:r>
        <w:rPr>
          <w:rFonts w:ascii="PT Astra Serif" w:hAnsi="PT Astra Serif"/>
          <w:sz w:val="26"/>
          <w:szCs w:val="26"/>
        </w:rPr>
        <w:t>«</w:t>
      </w:r>
      <w:r w:rsidRPr="00B30353">
        <w:rPr>
          <w:rFonts w:ascii="PT Astra Serif" w:hAnsi="PT Astra Serif"/>
          <w:sz w:val="26"/>
          <w:szCs w:val="26"/>
        </w:rPr>
        <w:t>а</w:t>
      </w:r>
      <w:r>
        <w:rPr>
          <w:rFonts w:ascii="PT Astra Serif" w:hAnsi="PT Astra Serif"/>
          <w:sz w:val="26"/>
          <w:szCs w:val="26"/>
        </w:rPr>
        <w:t>»</w:t>
      </w:r>
      <w:r w:rsidRPr="00B30353">
        <w:rPr>
          <w:rFonts w:ascii="PT Astra Serif" w:hAnsi="PT Astra Serif"/>
          <w:sz w:val="26"/>
          <w:szCs w:val="26"/>
        </w:rPr>
        <w:t xml:space="preserve"> пункта 8 Порядка </w:t>
      </w:r>
      <w:r>
        <w:rPr>
          <w:rFonts w:ascii="PT Astra Serif" w:hAnsi="PT Astra Serif"/>
          <w:sz w:val="26"/>
          <w:szCs w:val="26"/>
        </w:rPr>
        <w:t>№</w:t>
      </w:r>
      <w:r w:rsidRPr="00B30353">
        <w:rPr>
          <w:rFonts w:ascii="PT Astra Serif" w:hAnsi="PT Astra Serif"/>
          <w:sz w:val="26"/>
          <w:szCs w:val="26"/>
        </w:rPr>
        <w:t xml:space="preserve"> 841/пр);</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2) если для определения НМЦК используется сметная документация, разработанная на основании применяемой на дату определения НМЦК сметно-нормативной базы с применением индексов изменения сметной стоимости строительства, размещаемых Минстроем России в федеральном реестре сметных нормативов (далее - ФРСН) и действующих на дату определения НМЦК (абзац шестой подпункта </w:t>
      </w:r>
      <w:r>
        <w:rPr>
          <w:rFonts w:ascii="PT Astra Serif" w:hAnsi="PT Astra Serif"/>
          <w:sz w:val="26"/>
          <w:szCs w:val="26"/>
        </w:rPr>
        <w:t>«</w:t>
      </w:r>
      <w:r w:rsidRPr="00B30353">
        <w:rPr>
          <w:rFonts w:ascii="PT Astra Serif" w:hAnsi="PT Astra Serif"/>
          <w:sz w:val="26"/>
          <w:szCs w:val="26"/>
        </w:rPr>
        <w:t>а</w:t>
      </w:r>
      <w:r>
        <w:rPr>
          <w:rFonts w:ascii="PT Astra Serif" w:hAnsi="PT Astra Serif"/>
          <w:sz w:val="26"/>
          <w:szCs w:val="26"/>
        </w:rPr>
        <w:t>»</w:t>
      </w:r>
      <w:r w:rsidRPr="00B30353">
        <w:rPr>
          <w:rFonts w:ascii="PT Astra Serif" w:hAnsi="PT Astra Serif"/>
          <w:sz w:val="26"/>
          <w:szCs w:val="26"/>
        </w:rPr>
        <w:t xml:space="preserve"> пункта 8 Порядка </w:t>
      </w:r>
      <w:r>
        <w:rPr>
          <w:rFonts w:ascii="PT Astra Serif" w:hAnsi="PT Astra Serif"/>
          <w:sz w:val="26"/>
          <w:szCs w:val="26"/>
        </w:rPr>
        <w:t>№</w:t>
      </w:r>
      <w:r w:rsidRPr="00B30353">
        <w:rPr>
          <w:rFonts w:ascii="PT Astra Serif" w:hAnsi="PT Astra Serif"/>
          <w:sz w:val="26"/>
          <w:szCs w:val="26"/>
        </w:rPr>
        <w:t xml:space="preserve"> 841/пр).</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Таким образом, положения Порядка </w:t>
      </w:r>
      <w:r>
        <w:rPr>
          <w:rFonts w:ascii="PT Astra Serif" w:hAnsi="PT Astra Serif"/>
          <w:sz w:val="26"/>
          <w:szCs w:val="26"/>
        </w:rPr>
        <w:t xml:space="preserve">№ </w:t>
      </w:r>
      <w:r w:rsidRPr="00B30353">
        <w:rPr>
          <w:rFonts w:ascii="PT Astra Serif" w:hAnsi="PT Astra Serif"/>
          <w:sz w:val="26"/>
          <w:szCs w:val="26"/>
        </w:rPr>
        <w:t>841/пр предусматривают, что если для определения НМЦК используется сметная документация, разработанная на основании применяемой на дату формирования НМЦК сметно-нормативной базы, то для пересчета сметной стоимости подрядных работ в уровень цен на дату определения НМЦК заказчик обязан использовать индексы изменения сметной стоимости, размещенные Минстроем России в ФРСН, действующие на дату определения НМЦК, а не индексы фактической инфляции.</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Возможность пересчета сметной стоимости подрядных работ в уровень цен на дату определения НМЦК с использованием индексов изменения сметной стоимости следует в том числе из положений пункта 45(13) Положения об организации и проведения государственной экспертизы проектной документации и результатов инженерных изысканий, утвержденного постановлением Правительства Российской Федерации от 5 марта 2007 г. </w:t>
      </w:r>
      <w:r>
        <w:rPr>
          <w:rFonts w:ascii="PT Astra Serif" w:hAnsi="PT Astra Serif"/>
          <w:sz w:val="26"/>
          <w:szCs w:val="26"/>
        </w:rPr>
        <w:t>№</w:t>
      </w:r>
      <w:r w:rsidRPr="00B30353">
        <w:rPr>
          <w:rFonts w:ascii="PT Astra Serif" w:hAnsi="PT Astra Serif"/>
          <w:sz w:val="26"/>
          <w:szCs w:val="26"/>
        </w:rPr>
        <w:t xml:space="preserve"> 145, согласно которому после получения положительного заключения государственной экспертизы, но до даты заключения государственного (муниципального) контракта (договора), предусмотрено право пересчитать сметную стоимость, применив индексы изменения сметной стоимости строительства, действующие на дату пересчета сметной стоимости без направления такой сметной документации на повторную государственную экспертизу проектной документации в части проверки достоверности определения сметной стоимости.</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В случае, если сметная документация разработана на основании сметно-нормативной базы, не применяемой на дату формирования НМЦК, то пересчет сметной стоимости подрядных работ в уровень цен на дату определения НМЦК осуществляется с использованием индекса фактической инфляции.</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2. Перевод сметной стоимости подрядных работ из уровня цен на дату определения НМЦК в уровень цен соответствующего периода реализации проекта осуществляется с применением индексов-дефляторов Минэкономразвития России по строке </w:t>
      </w:r>
      <w:r>
        <w:rPr>
          <w:rFonts w:ascii="PT Astra Serif" w:hAnsi="PT Astra Serif"/>
          <w:sz w:val="26"/>
          <w:szCs w:val="26"/>
        </w:rPr>
        <w:t>«</w:t>
      </w:r>
      <w:r w:rsidRPr="00B30353">
        <w:rPr>
          <w:rFonts w:ascii="PT Astra Serif" w:hAnsi="PT Astra Serif"/>
          <w:sz w:val="26"/>
          <w:szCs w:val="26"/>
        </w:rPr>
        <w:t>Инвестиции в основной капитал (капитальные вложения)</w:t>
      </w:r>
      <w:r>
        <w:rPr>
          <w:rFonts w:ascii="PT Astra Serif" w:hAnsi="PT Astra Serif"/>
          <w:sz w:val="26"/>
          <w:szCs w:val="26"/>
        </w:rPr>
        <w:t>»</w:t>
      </w:r>
      <w:r w:rsidRPr="00B30353">
        <w:rPr>
          <w:rFonts w:ascii="PT Astra Serif" w:hAnsi="PT Astra Serif"/>
          <w:sz w:val="26"/>
          <w:szCs w:val="26"/>
        </w:rPr>
        <w:t xml:space="preserve"> или прогнозных индексов инфляции (при наличии), установленных уполномоченным органом исполнительной власти субъекта Российской Федерации, в случае осуществления закупок за счет средств бюджета субъекта Российской Федерации (далее - индекс прогнозной инфляции).</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lastRenderedPageBreak/>
        <w:t>Индексы прогнозной инфляции формируются, отражаются и публикуются Минэкономразвития России:</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1) в составе сценарных условий функционирования экономики Российской Федерации и основных параметров среднесрочного прогноза социально-экономического развития Российской Федерации (далее - сценарные условия и основные параметры среднесрочного прогноза);</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2) в составе среднесрочного прогноза социально-экономического развития Российской Федерации (далее - среднесрочный прогноз).</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Из положений бюджетного законодательства Российской Федерации в части порядка разработки, внесения и утверждения проекта федерального бюджета, Правил разработки, корректировки, осуществления мониторинга и контроля реализации прогноза социально-экономического развития Российской Федерации на среднесрочный период, утвержденных постановлением Правительства Российской Федерации от 14 ноября 2015 г. </w:t>
      </w:r>
      <w:r>
        <w:rPr>
          <w:rFonts w:ascii="PT Astra Serif" w:hAnsi="PT Astra Serif"/>
          <w:sz w:val="26"/>
          <w:szCs w:val="26"/>
        </w:rPr>
        <w:t>№</w:t>
      </w:r>
      <w:r w:rsidRPr="00B30353">
        <w:rPr>
          <w:rFonts w:ascii="PT Astra Serif" w:hAnsi="PT Astra Serif"/>
          <w:sz w:val="26"/>
          <w:szCs w:val="26"/>
        </w:rPr>
        <w:t xml:space="preserve"> 1234, а также Методических рекомендаций по разработке, корректировке, мониторингу среднесрочного прогноза социально-экономического развития Российской Федерации, утвержденных приказом Минэкономразвития России от 30 июня 2016 г. </w:t>
      </w:r>
      <w:r>
        <w:rPr>
          <w:rFonts w:ascii="PT Astra Serif" w:hAnsi="PT Astra Serif"/>
          <w:sz w:val="26"/>
          <w:szCs w:val="26"/>
        </w:rPr>
        <w:t>№</w:t>
      </w:r>
      <w:r w:rsidRPr="00B30353">
        <w:rPr>
          <w:rFonts w:ascii="PT Astra Serif" w:hAnsi="PT Astra Serif"/>
          <w:sz w:val="26"/>
          <w:szCs w:val="26"/>
        </w:rPr>
        <w:t xml:space="preserve"> 423, следует, что:</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1) показатели, в том числе об индексах прогнозной инфляции, в составе сценарных условий и основных параметров среднесрочного прогноза отражают наиболее вероятные внешние и внутренние условия и характеристики социально-экономического развития Российской Федерации, процесс согласования которых может потребовать уточнения индексов-дефляторов;</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2) при разработке и утверждении федерального закона о федеральном бюджете на очередной финансовый год и плановый период (далее - федеральный бюджет) используются показатели актуального среднесрочного прогноза, одобренного Правительством Российской Федерации и опубликованного на официальном сайте Минэкономразвития России в информационно-телекоммуникационной сети </w:t>
      </w:r>
      <w:r>
        <w:rPr>
          <w:rFonts w:ascii="PT Astra Serif" w:hAnsi="PT Astra Serif"/>
          <w:sz w:val="26"/>
          <w:szCs w:val="26"/>
        </w:rPr>
        <w:t>«</w:t>
      </w:r>
      <w:r w:rsidRPr="00B30353">
        <w:rPr>
          <w:rFonts w:ascii="PT Astra Serif" w:hAnsi="PT Astra Serif"/>
          <w:sz w:val="26"/>
          <w:szCs w:val="26"/>
        </w:rPr>
        <w:t>Интернет</w:t>
      </w:r>
      <w:r>
        <w:rPr>
          <w:rFonts w:ascii="PT Astra Serif" w:hAnsi="PT Astra Serif"/>
          <w:sz w:val="26"/>
          <w:szCs w:val="26"/>
        </w:rPr>
        <w:t>»</w:t>
      </w:r>
      <w:r w:rsidRPr="00B30353">
        <w:rPr>
          <w:rFonts w:ascii="PT Astra Serif" w:hAnsi="PT Astra Serif"/>
          <w:sz w:val="26"/>
          <w:szCs w:val="26"/>
        </w:rPr>
        <w:t xml:space="preserve"> (далее - актуальный среднесрочный прогноз).</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Учитывая, что при разработке и утверждении федерального бюджета используются показатели актуального среднесрочного прогноза, а не показатели сценарных условий и основных параметров среднесрочного прогноза, при использовании прогнозных индексов Минэкономразвития России для перевода сметной стоимости подрядных работ из уровня цен на дату определения НМЦК в уровень цен соответствующего периода реализации проекта Минстрой России рекомендует использовать показатели актуального среднесрочного прогноза.</w:t>
      </w:r>
    </w:p>
    <w:p w:rsidR="00B30353" w:rsidRPr="00B30353" w:rsidRDefault="00B30353" w:rsidP="00B30353">
      <w:pPr>
        <w:tabs>
          <w:tab w:val="left" w:pos="4410"/>
        </w:tabs>
        <w:ind w:firstLine="709"/>
        <w:jc w:val="both"/>
        <w:rPr>
          <w:rFonts w:ascii="PT Astra Serif" w:hAnsi="PT Astra Serif"/>
          <w:sz w:val="26"/>
          <w:szCs w:val="26"/>
        </w:rPr>
      </w:pPr>
      <w:r>
        <w:rPr>
          <w:rFonts w:ascii="PT Astra Serif" w:hAnsi="PT Astra Serif"/>
          <w:sz w:val="26"/>
          <w:szCs w:val="26"/>
        </w:rPr>
        <w:t>П</w:t>
      </w:r>
      <w:r w:rsidRPr="00B30353">
        <w:rPr>
          <w:rFonts w:ascii="PT Astra Serif" w:hAnsi="PT Astra Serif"/>
          <w:sz w:val="26"/>
          <w:szCs w:val="26"/>
        </w:rPr>
        <w:t xml:space="preserve">оказатели актуального среднесрочного прогноза публикуются на официальном сайте Минэкономразвития России в информационно-телекоммуникационной сети </w:t>
      </w:r>
      <w:r>
        <w:rPr>
          <w:rFonts w:ascii="PT Astra Serif" w:hAnsi="PT Astra Serif"/>
          <w:sz w:val="26"/>
          <w:szCs w:val="26"/>
        </w:rPr>
        <w:t>«</w:t>
      </w:r>
      <w:r w:rsidRPr="00B30353">
        <w:rPr>
          <w:rFonts w:ascii="PT Astra Serif" w:hAnsi="PT Astra Serif"/>
          <w:sz w:val="26"/>
          <w:szCs w:val="26"/>
        </w:rPr>
        <w:t>Интернет</w:t>
      </w:r>
      <w:r>
        <w:rPr>
          <w:rFonts w:ascii="PT Astra Serif" w:hAnsi="PT Astra Serif"/>
          <w:sz w:val="26"/>
          <w:szCs w:val="26"/>
        </w:rPr>
        <w:t>»</w:t>
      </w:r>
      <w:r w:rsidRPr="00B30353">
        <w:rPr>
          <w:rFonts w:ascii="PT Astra Serif" w:hAnsi="PT Astra Serif"/>
          <w:sz w:val="26"/>
          <w:szCs w:val="26"/>
        </w:rPr>
        <w:t xml:space="preserve"> https://economy.gov.ru/ в разделе </w:t>
      </w:r>
      <w:r>
        <w:rPr>
          <w:rFonts w:ascii="PT Astra Serif" w:hAnsi="PT Astra Serif"/>
          <w:sz w:val="26"/>
          <w:szCs w:val="26"/>
        </w:rPr>
        <w:t>«</w:t>
      </w:r>
      <w:r w:rsidRPr="00B30353">
        <w:rPr>
          <w:rFonts w:ascii="PT Astra Serif" w:hAnsi="PT Astra Serif"/>
          <w:sz w:val="26"/>
          <w:szCs w:val="26"/>
        </w:rPr>
        <w:t>Деятельность/Макроэкономика/Прогнозы социально-экономического развития</w:t>
      </w:r>
      <w:r>
        <w:rPr>
          <w:rFonts w:ascii="PT Astra Serif" w:hAnsi="PT Astra Serif"/>
          <w:sz w:val="26"/>
          <w:szCs w:val="26"/>
        </w:rPr>
        <w:t>»</w:t>
      </w:r>
      <w:r w:rsidRPr="00B30353">
        <w:rPr>
          <w:rFonts w:ascii="PT Astra Serif" w:hAnsi="PT Astra Serif"/>
          <w:sz w:val="26"/>
          <w:szCs w:val="26"/>
        </w:rPr>
        <w:t>.</w:t>
      </w:r>
    </w:p>
    <w:p w:rsidR="00B30353" w:rsidRPr="00853CCD" w:rsidRDefault="00B30353" w:rsidP="00853CCD">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Кроме того, показатели актуального среднесрочного прогноза доводятся до отдельных государственных органов власти и организаций письмами Минэкономразвития России в соответствии с приказом Минэкономразвития России от 1 апреля 2020 г. </w:t>
      </w:r>
      <w:r>
        <w:rPr>
          <w:rFonts w:ascii="PT Astra Serif" w:hAnsi="PT Astra Serif"/>
          <w:sz w:val="26"/>
          <w:szCs w:val="26"/>
        </w:rPr>
        <w:t>№</w:t>
      </w:r>
      <w:r w:rsidRPr="00B30353">
        <w:rPr>
          <w:rFonts w:ascii="PT Astra Serif" w:hAnsi="PT Astra Serif"/>
          <w:sz w:val="26"/>
          <w:szCs w:val="26"/>
        </w:rPr>
        <w:t xml:space="preserve"> 190 </w:t>
      </w:r>
      <w:r>
        <w:rPr>
          <w:rFonts w:ascii="PT Astra Serif" w:hAnsi="PT Astra Serif"/>
          <w:sz w:val="26"/>
          <w:szCs w:val="26"/>
        </w:rPr>
        <w:t>«</w:t>
      </w:r>
      <w:r w:rsidRPr="00B30353">
        <w:rPr>
          <w:rFonts w:ascii="PT Astra Serif" w:hAnsi="PT Astra Serif"/>
          <w:sz w:val="26"/>
          <w:szCs w:val="26"/>
        </w:rPr>
        <w:t>Об утверждении Порядка применения индексов цен и индексов-дефляторов по видам экономической деятельности, а также иных показателей в составе прогноза социально-экономического развития Российской Федерации при формировании цен на продукцию, поставляемую по государственному оборонному заказу</w:t>
      </w:r>
      <w:r>
        <w:rPr>
          <w:rFonts w:ascii="PT Astra Serif" w:hAnsi="PT Astra Serif"/>
          <w:sz w:val="26"/>
          <w:szCs w:val="26"/>
        </w:rPr>
        <w:t>»</w:t>
      </w:r>
      <w:r w:rsidRPr="00B30353">
        <w:rPr>
          <w:rFonts w:ascii="PT Astra Serif" w:hAnsi="PT Astra Serif"/>
          <w:sz w:val="26"/>
          <w:szCs w:val="26"/>
        </w:rPr>
        <w:t xml:space="preserve">, которые также публикуются на официальном сайте Минэкономразвития России в информационно-телекоммуникационной сети </w:t>
      </w:r>
      <w:r>
        <w:rPr>
          <w:rFonts w:ascii="PT Astra Serif" w:hAnsi="PT Astra Serif"/>
          <w:sz w:val="26"/>
          <w:szCs w:val="26"/>
        </w:rPr>
        <w:t>«</w:t>
      </w:r>
      <w:r w:rsidRPr="00B30353">
        <w:rPr>
          <w:rFonts w:ascii="PT Astra Serif" w:hAnsi="PT Astra Serif"/>
          <w:sz w:val="26"/>
          <w:szCs w:val="26"/>
        </w:rPr>
        <w:t>Интернет</w:t>
      </w:r>
      <w:r>
        <w:rPr>
          <w:rFonts w:ascii="PT Astra Serif" w:hAnsi="PT Astra Serif"/>
          <w:sz w:val="26"/>
          <w:szCs w:val="26"/>
        </w:rPr>
        <w:t>»</w:t>
      </w:r>
      <w:r w:rsidRPr="00B30353">
        <w:rPr>
          <w:rFonts w:ascii="PT Astra Serif" w:hAnsi="PT Astra Serif"/>
          <w:sz w:val="26"/>
          <w:szCs w:val="26"/>
        </w:rPr>
        <w:t xml:space="preserve"> https://economy.gov.ru/ в вышеуказанном разделе, а также в разделе </w:t>
      </w:r>
      <w:r>
        <w:rPr>
          <w:rFonts w:ascii="PT Astra Serif" w:hAnsi="PT Astra Serif"/>
          <w:sz w:val="26"/>
          <w:szCs w:val="26"/>
        </w:rPr>
        <w:t>«</w:t>
      </w:r>
      <w:r w:rsidRPr="00B30353">
        <w:rPr>
          <w:rFonts w:ascii="PT Astra Serif" w:hAnsi="PT Astra Serif"/>
          <w:sz w:val="26"/>
          <w:szCs w:val="26"/>
        </w:rPr>
        <w:t>Документы</w:t>
      </w:r>
      <w:r>
        <w:rPr>
          <w:rFonts w:ascii="PT Astra Serif" w:hAnsi="PT Astra Serif"/>
          <w:sz w:val="26"/>
          <w:szCs w:val="26"/>
        </w:rPr>
        <w:t>»</w:t>
      </w:r>
      <w:r w:rsidRPr="00B30353">
        <w:rPr>
          <w:rFonts w:ascii="PT Astra Serif" w:hAnsi="PT Astra Serif"/>
          <w:sz w:val="26"/>
          <w:szCs w:val="26"/>
        </w:rPr>
        <w:t>.</w:t>
      </w:r>
    </w:p>
    <w:p w:rsidR="00B30353" w:rsidRDefault="00B30353" w:rsidP="00E46F99">
      <w:pPr>
        <w:tabs>
          <w:tab w:val="left" w:pos="4410"/>
        </w:tabs>
        <w:ind w:firstLine="709"/>
        <w:jc w:val="both"/>
        <w:rPr>
          <w:rFonts w:ascii="PT Astra Serif" w:hAnsi="PT Astra Serif"/>
          <w:i/>
          <w:sz w:val="26"/>
          <w:szCs w:val="26"/>
        </w:rPr>
      </w:pPr>
      <w:r w:rsidRPr="00B30353">
        <w:rPr>
          <w:rFonts w:ascii="PT Astra Serif" w:hAnsi="PT Astra Serif"/>
          <w:i/>
          <w:sz w:val="26"/>
          <w:szCs w:val="26"/>
        </w:rPr>
        <w:lastRenderedPageBreak/>
        <w:t>Письмо Минстроя России от 22.08.2024 № 48593-ТБ/02 «О некоторых особенностях исполнения требования о возмещении реального ущерба и взыскания неустойки (штрафа)»</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Минстрой России разъяснил особенности ответственности СРО по требованиям о возмещении реального ущерба за счет средств компенсационного фонда</w:t>
      </w:r>
      <w:r>
        <w:rPr>
          <w:rFonts w:ascii="PT Astra Serif" w:hAnsi="PT Astra Serif"/>
          <w:sz w:val="26"/>
          <w:szCs w:val="26"/>
        </w:rPr>
        <w:t>.</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По общим правилам, установленным Гражданским кодексом Российской Федерации (далее - ГК РФ), должник обязан возместить кредитору убытки, причиненные неисполнением или ненадлежащим исполнением обязательства. Использование кредитором иных способов защиты нарушенных прав, предусмотренных законом или договором, не лишает его права требовать от должника возмещения убытков, причиненных неисполнением или ненадлежащим исполнением обязательства (пункт 1 статьи 393 ГК РФ).</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Одним из способов обеспечения исполнения обязательств, предусмотренных законом или договором, является неустойка (пункт 1 статьи 329 ГК РФ). Вместе с тем в случаях, когда за неисполнение или ненадлежащее исполнение обязательства установлена ограниченная ответственность (статья 400 ГК РФ), убытки, подлежащие возмещению в части, не покрытой неустойкой, либо сверх ее, либо вместо нее, могут быть взысканы до пределов, установленных таким ограничением (пункт 2 статьи 394 ГК РФ).</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В этой связи частью 3 статьи 60.1 Градостроительного кодекса Российской Федерации (далее - ГрК РФ) установлено ограничение размера выплаты из средств компенсационного фонда обеспечения договорных обязательств (далее - компенсационная выплата) по требованию о возмещении реального ущерба вследствие неисполнения или ненадлежащего исполнения членом саморегулируемой организации (далее - СРО) обязательств по соответствующему договору подряда или вследствие неисполнения, или ненадлежащего исполнения членом СРО функций технического заказчика, а также неустойки по указанным договорам (далее - максимальная выплата).</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Причем такое ограничение распространяется на все требования о компенсационной выплате по одному договору подряда и не зависит от деления указанных требований на реальный ущерб и неустойку или предъявления частичных требований в разное время.</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С учетом изложенного</w:t>
      </w:r>
      <w:r w:rsidR="00853CCD">
        <w:rPr>
          <w:rFonts w:ascii="PT Astra Serif" w:hAnsi="PT Astra Serif"/>
          <w:sz w:val="26"/>
          <w:szCs w:val="26"/>
        </w:rPr>
        <w:t>,</w:t>
      </w:r>
      <w:r w:rsidRPr="00B30353">
        <w:rPr>
          <w:rFonts w:ascii="PT Astra Serif" w:hAnsi="PT Astra Serif"/>
          <w:sz w:val="26"/>
          <w:szCs w:val="26"/>
        </w:rPr>
        <w:t xml:space="preserve"> требования о возмещении реального ущерба и взыскании неустойки (штрафа) по одному договору, являющемуся основанием возникновения указанных требований, могут быть удовлетворены в размере, не превышающем максимальной выплаты.</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Искусственное деление по одному договору требований о выплате реального ущерба и неустойки приведет к неосновательному обогащению лица, являющегося заказчиком по такому договору, и не допускается законом (аналогичная позиция изложена в постановлении Пленума Верховного Суда Российской Федерации от 25 июня 2024 г. </w:t>
      </w:r>
      <w:r>
        <w:rPr>
          <w:rFonts w:ascii="PT Astra Serif" w:hAnsi="PT Astra Serif"/>
          <w:sz w:val="26"/>
          <w:szCs w:val="26"/>
        </w:rPr>
        <w:br/>
        <w:t xml:space="preserve">№ </w:t>
      </w:r>
      <w:r w:rsidRPr="00B30353">
        <w:rPr>
          <w:rFonts w:ascii="PT Astra Serif" w:hAnsi="PT Astra Serif"/>
          <w:sz w:val="26"/>
          <w:szCs w:val="26"/>
        </w:rPr>
        <w:t xml:space="preserve">19, постановлении Пленума Верховного Суда Российской Федерации от 8 ноября 2022 г. </w:t>
      </w:r>
      <w:r>
        <w:rPr>
          <w:rFonts w:ascii="PT Astra Serif" w:hAnsi="PT Astra Serif"/>
          <w:sz w:val="26"/>
          <w:szCs w:val="26"/>
        </w:rPr>
        <w:t>№</w:t>
      </w:r>
      <w:r w:rsidRPr="00B30353">
        <w:rPr>
          <w:rFonts w:ascii="PT Astra Serif" w:hAnsi="PT Astra Serif"/>
          <w:sz w:val="26"/>
          <w:szCs w:val="26"/>
        </w:rPr>
        <w:t xml:space="preserve"> 31, определении Шестого кассационного суда общей юрисдикции от 2 августа 2022 г. </w:t>
      </w:r>
      <w:r>
        <w:rPr>
          <w:rFonts w:ascii="PT Astra Serif" w:hAnsi="PT Astra Serif"/>
          <w:sz w:val="26"/>
          <w:szCs w:val="26"/>
        </w:rPr>
        <w:br/>
        <w:t>№</w:t>
      </w:r>
      <w:r w:rsidRPr="00B30353">
        <w:rPr>
          <w:rFonts w:ascii="PT Astra Serif" w:hAnsi="PT Astra Serif"/>
          <w:sz w:val="26"/>
          <w:szCs w:val="26"/>
        </w:rPr>
        <w:t xml:space="preserve"> 88-15710/2022 по делу </w:t>
      </w:r>
      <w:r w:rsidR="00853CCD">
        <w:rPr>
          <w:rFonts w:ascii="PT Astra Serif" w:hAnsi="PT Astra Serif"/>
          <w:sz w:val="26"/>
          <w:szCs w:val="26"/>
        </w:rPr>
        <w:t xml:space="preserve">№ </w:t>
      </w:r>
      <w:r w:rsidRPr="00B30353">
        <w:rPr>
          <w:rFonts w:ascii="PT Astra Serif" w:hAnsi="PT Astra Serif"/>
          <w:sz w:val="26"/>
          <w:szCs w:val="26"/>
        </w:rPr>
        <w:t>2-598/2022).</w:t>
      </w:r>
    </w:p>
    <w:p w:rsidR="00B30353" w:rsidRDefault="00B30353" w:rsidP="00E46F99">
      <w:pPr>
        <w:tabs>
          <w:tab w:val="left" w:pos="4410"/>
        </w:tabs>
        <w:ind w:firstLine="709"/>
        <w:jc w:val="both"/>
        <w:rPr>
          <w:rFonts w:ascii="PT Astra Serif" w:hAnsi="PT Astra Serif"/>
          <w:b/>
          <w:sz w:val="26"/>
          <w:szCs w:val="26"/>
        </w:rPr>
      </w:pPr>
    </w:p>
    <w:p w:rsidR="00B30353" w:rsidRDefault="00B30353" w:rsidP="00E46F99">
      <w:pPr>
        <w:tabs>
          <w:tab w:val="left" w:pos="4410"/>
        </w:tabs>
        <w:ind w:firstLine="709"/>
        <w:jc w:val="both"/>
        <w:rPr>
          <w:rFonts w:ascii="PT Astra Serif" w:hAnsi="PT Astra Serif"/>
          <w:i/>
          <w:sz w:val="26"/>
          <w:szCs w:val="26"/>
        </w:rPr>
      </w:pPr>
      <w:r w:rsidRPr="00B30353">
        <w:rPr>
          <w:rFonts w:ascii="PT Astra Serif" w:hAnsi="PT Astra Serif"/>
          <w:i/>
          <w:sz w:val="26"/>
          <w:szCs w:val="26"/>
        </w:rPr>
        <w:t>Письмо Минфина России от 15.08.2024 № 24-08-06/76561 «О рассмотрении обращения»</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Минфин России разъяснил вопросы уступки права требования оплаты по контракту.</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Частью 1 статьи 2 Закона № 44-ФЗ установлено, что законодательство Российской Федерации о контрактной системе в сфере закупок основывается в том числе на положениях </w:t>
      </w:r>
      <w:r>
        <w:rPr>
          <w:rFonts w:ascii="PT Astra Serif" w:hAnsi="PT Astra Serif"/>
          <w:sz w:val="26"/>
          <w:szCs w:val="26"/>
        </w:rPr>
        <w:t>ГК РФ</w:t>
      </w:r>
      <w:r w:rsidRPr="00B30353">
        <w:rPr>
          <w:rFonts w:ascii="PT Astra Serif" w:hAnsi="PT Astra Serif"/>
          <w:sz w:val="26"/>
          <w:szCs w:val="26"/>
        </w:rPr>
        <w:t xml:space="preserve"> и Бюджетного кодекса Российской Федерации (далее </w:t>
      </w:r>
      <w:r>
        <w:rPr>
          <w:rFonts w:ascii="PT Astra Serif" w:hAnsi="PT Astra Serif"/>
          <w:sz w:val="26"/>
          <w:szCs w:val="26"/>
        </w:rPr>
        <w:t>–</w:t>
      </w:r>
      <w:r w:rsidRPr="00B30353">
        <w:rPr>
          <w:rFonts w:ascii="PT Astra Serif" w:hAnsi="PT Astra Serif"/>
          <w:sz w:val="26"/>
          <w:szCs w:val="26"/>
        </w:rPr>
        <w:t xml:space="preserve"> </w:t>
      </w:r>
      <w:r>
        <w:rPr>
          <w:rFonts w:ascii="PT Astra Serif" w:hAnsi="PT Astra Serif"/>
          <w:sz w:val="26"/>
          <w:szCs w:val="26"/>
        </w:rPr>
        <w:t>БК РФ</w:t>
      </w:r>
      <w:r w:rsidRPr="00B30353">
        <w:rPr>
          <w:rFonts w:ascii="PT Astra Serif" w:hAnsi="PT Astra Serif"/>
          <w:sz w:val="26"/>
          <w:szCs w:val="26"/>
        </w:rPr>
        <w:t xml:space="preserve">). </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Согласно статье 432 </w:t>
      </w:r>
      <w:r>
        <w:rPr>
          <w:rFonts w:ascii="PT Astra Serif" w:hAnsi="PT Astra Serif"/>
          <w:sz w:val="26"/>
          <w:szCs w:val="26"/>
        </w:rPr>
        <w:t xml:space="preserve">ГК РФ </w:t>
      </w:r>
      <w:r w:rsidRPr="00B30353">
        <w:rPr>
          <w:rFonts w:ascii="PT Astra Serif" w:hAnsi="PT Astra Serif"/>
          <w:sz w:val="26"/>
          <w:szCs w:val="26"/>
        </w:rPr>
        <w:t xml:space="preserve">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 </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lastRenderedPageBreak/>
        <w:t xml:space="preserve">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 </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Так, в силу положений пункта 1 части 13 статьи 34 Закона № 44-ФЗ в контракт включаются обязательные условия о порядке и сроках оплаты товара, работы или услуги</w:t>
      </w:r>
      <w:r>
        <w:rPr>
          <w:rFonts w:ascii="PT Astra Serif" w:hAnsi="PT Astra Serif"/>
          <w:sz w:val="26"/>
          <w:szCs w:val="26"/>
        </w:rPr>
        <w:t>.</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Следует отметить, что перечисление денежного обязательства, возникшего на основании контракта, третьему лицу, не являющемуся поставщиком (подрядчиком, исполнителем) по такому контракту, законодательством о контрактной системе в сфере закупок не предусмотрено (пункт 2 части 1 статьи 94 Закона № 44-ФЗ). </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Кроме того,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 (часть 5 статьи 95 Закона № 44-ФЗ). </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Таким образом, условие о порядке оплаты товара, работы или услуги, включая платежные реквизиты, которые указаны в контракте, является существенным и в силу положений, определенных законодательством о контрактной системе в сфере закупок, не может быть изменено. </w:t>
      </w:r>
    </w:p>
    <w:p w:rsidR="00B30353" w:rsidRDefault="00B30353" w:rsidP="00E46F99">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Также необходимо учитывать, что пунктом 20 статьи 241 </w:t>
      </w:r>
      <w:r>
        <w:rPr>
          <w:rFonts w:ascii="PT Astra Serif" w:hAnsi="PT Astra Serif"/>
          <w:sz w:val="26"/>
          <w:szCs w:val="26"/>
        </w:rPr>
        <w:t>БК РФ</w:t>
      </w:r>
      <w:r w:rsidRPr="00B30353">
        <w:rPr>
          <w:rFonts w:ascii="PT Astra Serif" w:hAnsi="PT Astra Serif"/>
          <w:sz w:val="26"/>
          <w:szCs w:val="26"/>
        </w:rPr>
        <w:t xml:space="preserve"> предусмотрен исчерпывающий перечень случаев уступки права требования по денежному обязательству, возникшему на основании государственного или муниципального</w:t>
      </w:r>
      <w:r>
        <w:rPr>
          <w:rFonts w:ascii="PT Astra Serif" w:hAnsi="PT Astra Serif"/>
          <w:sz w:val="26"/>
          <w:szCs w:val="26"/>
        </w:rPr>
        <w:t xml:space="preserve"> контракта.</w:t>
      </w:r>
    </w:p>
    <w:p w:rsid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Учитывая изложенное, возможность оплаты по контракту лицу, не являющемуся поставщиком (подрядчиком, исполнителем) по такому контракту, положениями законодательства Российской Федерации о контрактной системе в сфере закупок не предусмотрена</w:t>
      </w:r>
      <w:r>
        <w:rPr>
          <w:rFonts w:ascii="PT Astra Serif" w:hAnsi="PT Astra Serif"/>
          <w:sz w:val="26"/>
          <w:szCs w:val="26"/>
        </w:rPr>
        <w:t>.</w:t>
      </w:r>
    </w:p>
    <w:p w:rsidR="00B30353" w:rsidRDefault="00B30353" w:rsidP="00B30353">
      <w:pPr>
        <w:tabs>
          <w:tab w:val="left" w:pos="4410"/>
        </w:tabs>
        <w:ind w:firstLine="709"/>
        <w:jc w:val="both"/>
        <w:rPr>
          <w:rFonts w:ascii="PT Astra Serif" w:hAnsi="PT Astra Serif"/>
          <w:sz w:val="26"/>
          <w:szCs w:val="26"/>
        </w:rPr>
      </w:pPr>
    </w:p>
    <w:p w:rsidR="00B30353" w:rsidRDefault="00B30353" w:rsidP="00B30353">
      <w:pPr>
        <w:tabs>
          <w:tab w:val="left" w:pos="4410"/>
        </w:tabs>
        <w:ind w:firstLine="709"/>
        <w:jc w:val="both"/>
        <w:rPr>
          <w:rFonts w:ascii="PT Astra Serif" w:hAnsi="PT Astra Serif"/>
          <w:i/>
          <w:sz w:val="26"/>
          <w:szCs w:val="26"/>
        </w:rPr>
      </w:pPr>
      <w:r w:rsidRPr="00B30353">
        <w:rPr>
          <w:rFonts w:ascii="PT Astra Serif" w:hAnsi="PT Astra Serif"/>
          <w:i/>
          <w:sz w:val="26"/>
          <w:szCs w:val="26"/>
        </w:rPr>
        <w:t>Письмо Минфина России от 01.08.2024 № 24-08-08/71743 «О рассмотрении обращения»</w:t>
      </w:r>
    </w:p>
    <w:p w:rsid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Минфин России разъяснил вопросы заключения контракта с ретроактивной оговоркой.</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Частью 1 статьи 2 Закона </w:t>
      </w:r>
      <w:r>
        <w:rPr>
          <w:rFonts w:ascii="PT Astra Serif" w:hAnsi="PT Astra Serif"/>
          <w:sz w:val="26"/>
          <w:szCs w:val="26"/>
        </w:rPr>
        <w:t>№</w:t>
      </w:r>
      <w:r w:rsidRPr="00B30353">
        <w:rPr>
          <w:rFonts w:ascii="PT Astra Serif" w:hAnsi="PT Astra Serif"/>
          <w:sz w:val="26"/>
          <w:szCs w:val="26"/>
        </w:rPr>
        <w:t> 44-ФЗ установлено, что законодательство Российской Федерации о контрактной системе в сфере закупок основывается в том числе на положениях Гражданского кодекса Российской Федерации (далее - ГК РФ).</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В соответствии с пунктом 2 статьи 425 ГК РФ стороны вправе установить, что условия заключенного ими договора применяются к их отношениям, возникшим до заключения договора, если иное не установлено законом или не вытекает из существа соответствующих отношений.</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В этой связи следует отметить, что согласно пункту 2 статьи 72 БК РФ и статье 16 Закона </w:t>
      </w:r>
      <w:r>
        <w:rPr>
          <w:rFonts w:ascii="PT Astra Serif" w:hAnsi="PT Astra Serif"/>
          <w:sz w:val="26"/>
          <w:szCs w:val="26"/>
        </w:rPr>
        <w:t>№</w:t>
      </w:r>
      <w:r w:rsidRPr="00B30353">
        <w:rPr>
          <w:rFonts w:ascii="PT Astra Serif" w:hAnsi="PT Astra Serif"/>
          <w:sz w:val="26"/>
          <w:szCs w:val="26"/>
        </w:rPr>
        <w:t> 44-ФЗ заказчик вправе начать закупку только после доведения до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Пунктом 3 части 1 статьи 3 Закона </w:t>
      </w:r>
      <w:r>
        <w:rPr>
          <w:rFonts w:ascii="PT Astra Serif" w:hAnsi="PT Astra Serif"/>
          <w:sz w:val="26"/>
          <w:szCs w:val="26"/>
        </w:rPr>
        <w:t>№</w:t>
      </w:r>
      <w:r w:rsidRPr="00B30353">
        <w:rPr>
          <w:rFonts w:ascii="PT Astra Serif" w:hAnsi="PT Astra Serif"/>
          <w:sz w:val="26"/>
          <w:szCs w:val="26"/>
        </w:rPr>
        <w:t> 44-ФЗ установлено, что закупка начинается с определения поставщика (подрядчика, исполнителя) и завершается исполнением обязательств сторонами контракта, а в случае осуществления закупки у единственного поставщика (подрядчика, исполнителя) - с заключения контракта и завершается исполнением обязательств сторонами контракта.</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lastRenderedPageBreak/>
        <w:t xml:space="preserve">При этом в соответствии с частью 1 статьи 94 Закона </w:t>
      </w:r>
      <w:r>
        <w:rPr>
          <w:rFonts w:ascii="PT Astra Serif" w:hAnsi="PT Astra Serif"/>
          <w:sz w:val="26"/>
          <w:szCs w:val="26"/>
        </w:rPr>
        <w:t>№</w:t>
      </w:r>
      <w:r w:rsidRPr="00B30353">
        <w:rPr>
          <w:rFonts w:ascii="PT Astra Serif" w:hAnsi="PT Astra Serif"/>
          <w:sz w:val="26"/>
          <w:szCs w:val="26"/>
        </w:rPr>
        <w:t xml:space="preserve"> 44-ФЗ 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w:t>
      </w:r>
      <w:r>
        <w:rPr>
          <w:rFonts w:ascii="PT Astra Serif" w:hAnsi="PT Astra Serif"/>
          <w:sz w:val="26"/>
          <w:szCs w:val="26"/>
        </w:rPr>
        <w:t xml:space="preserve">№ </w:t>
      </w:r>
      <w:r w:rsidRPr="00B30353">
        <w:rPr>
          <w:rFonts w:ascii="PT Astra Serif" w:hAnsi="PT Astra Serif"/>
          <w:sz w:val="26"/>
          <w:szCs w:val="26"/>
        </w:rPr>
        <w:t>44-ФЗ.</w:t>
      </w:r>
    </w:p>
    <w:p w:rsidR="00B30353" w:rsidRPr="00B30353" w:rsidRDefault="00B30353" w:rsidP="00B30353">
      <w:pPr>
        <w:tabs>
          <w:tab w:val="left" w:pos="4410"/>
        </w:tabs>
        <w:ind w:firstLine="709"/>
        <w:jc w:val="both"/>
        <w:rPr>
          <w:rFonts w:ascii="PT Astra Serif" w:hAnsi="PT Astra Serif"/>
          <w:sz w:val="26"/>
          <w:szCs w:val="26"/>
        </w:rPr>
      </w:pPr>
      <w:r w:rsidRPr="00B30353">
        <w:rPr>
          <w:rFonts w:ascii="PT Astra Serif" w:hAnsi="PT Astra Serif"/>
          <w:sz w:val="26"/>
          <w:szCs w:val="26"/>
        </w:rPr>
        <w:t xml:space="preserve">Таким образом, порядок осуществления закупки, установленный Законом </w:t>
      </w:r>
      <w:r>
        <w:rPr>
          <w:rFonts w:ascii="PT Astra Serif" w:hAnsi="PT Astra Serif"/>
          <w:sz w:val="26"/>
          <w:szCs w:val="26"/>
        </w:rPr>
        <w:t>№</w:t>
      </w:r>
      <w:r w:rsidRPr="00B30353">
        <w:rPr>
          <w:rFonts w:ascii="PT Astra Serif" w:hAnsi="PT Astra Serif"/>
          <w:sz w:val="26"/>
          <w:szCs w:val="26"/>
        </w:rPr>
        <w:t> 44-ФЗ, не предусматривает возможности начала исполнения обязательств единственным поставщиком (подрядчиком, исполнителем) до заключения контракта, в том числе с учетом того, что поставка товара, выполнение работ, оказание услуг и их приемка при отсутствии заключенного контракта и соответствующих средств бюджетов бюджетной системы Российской Федерации влечет возникновение фактической задолженности, в том числе в условиях отсутствия постановки бюджетных обязательств на бюджетный учет.</w:t>
      </w:r>
    </w:p>
    <w:p w:rsidR="00B30353" w:rsidRDefault="00B30353" w:rsidP="00B30353">
      <w:pPr>
        <w:tabs>
          <w:tab w:val="left" w:pos="4410"/>
        </w:tabs>
        <w:ind w:firstLine="709"/>
        <w:jc w:val="both"/>
        <w:rPr>
          <w:rFonts w:ascii="PT Astra Serif" w:hAnsi="PT Astra Serif"/>
          <w:sz w:val="26"/>
          <w:szCs w:val="26"/>
        </w:rPr>
      </w:pPr>
    </w:p>
    <w:p w:rsidR="00C71EFF" w:rsidRPr="00C71EFF" w:rsidRDefault="00C71EFF" w:rsidP="00C71EFF">
      <w:pPr>
        <w:tabs>
          <w:tab w:val="left" w:pos="4410"/>
        </w:tabs>
        <w:ind w:firstLine="709"/>
        <w:jc w:val="both"/>
        <w:rPr>
          <w:rFonts w:ascii="PT Astra Serif" w:hAnsi="PT Astra Serif"/>
          <w:i/>
          <w:sz w:val="26"/>
          <w:szCs w:val="26"/>
        </w:rPr>
      </w:pPr>
      <w:r w:rsidRPr="00C71EFF">
        <w:rPr>
          <w:rFonts w:ascii="PT Astra Serif" w:hAnsi="PT Astra Serif"/>
          <w:i/>
          <w:sz w:val="26"/>
          <w:szCs w:val="26"/>
        </w:rPr>
        <w:t xml:space="preserve">Определение Верховного </w:t>
      </w:r>
      <w:r w:rsidR="00853CCD">
        <w:rPr>
          <w:rFonts w:ascii="PT Astra Serif" w:hAnsi="PT Astra Serif"/>
          <w:i/>
          <w:sz w:val="26"/>
          <w:szCs w:val="26"/>
        </w:rPr>
        <w:t>С</w:t>
      </w:r>
      <w:r w:rsidRPr="00C71EFF">
        <w:rPr>
          <w:rFonts w:ascii="PT Astra Serif" w:hAnsi="PT Astra Serif"/>
          <w:i/>
          <w:sz w:val="26"/>
          <w:szCs w:val="26"/>
        </w:rPr>
        <w:t xml:space="preserve">уда Российской Федерации от </w:t>
      </w:r>
      <w:r w:rsidR="00853CCD">
        <w:rPr>
          <w:rFonts w:ascii="PT Astra Serif" w:hAnsi="PT Astra Serif"/>
          <w:i/>
          <w:sz w:val="26"/>
          <w:szCs w:val="26"/>
        </w:rPr>
        <w:t>28</w:t>
      </w:r>
      <w:r w:rsidRPr="00C71EFF">
        <w:rPr>
          <w:rFonts w:ascii="PT Astra Serif" w:hAnsi="PT Astra Serif"/>
          <w:i/>
          <w:sz w:val="26"/>
          <w:szCs w:val="26"/>
        </w:rPr>
        <w:t>.08.2024 по делу                     № 30</w:t>
      </w:r>
      <w:r w:rsidR="00853CCD">
        <w:rPr>
          <w:rFonts w:ascii="PT Astra Serif" w:hAnsi="PT Astra Serif"/>
          <w:i/>
          <w:sz w:val="26"/>
          <w:szCs w:val="26"/>
        </w:rPr>
        <w:t>5</w:t>
      </w:r>
      <w:r w:rsidRPr="00C71EFF">
        <w:rPr>
          <w:rFonts w:ascii="PT Astra Serif" w:hAnsi="PT Astra Serif"/>
          <w:i/>
          <w:sz w:val="26"/>
          <w:szCs w:val="26"/>
        </w:rPr>
        <w:t>-ЭС24-4945</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Заявитель: Министерство обороны РФ (Заказчик)</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Между Заказчиком и Университетом (Поставщик) заключен контракт на поставку оборудования.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Поставщиком товар в установленный срок не поставлен, обязательства не исполнены в полном объеме.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Заказчиком в адрес Поставщика направлена претензия, которая оставлена без удовлетворения.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Заказчик обратился в арбитражный суд с исковым заявлением к Поставщику о взыскании неустойки.</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Возражая против исковых требований Заказчика, Поставщик ссылается на </w:t>
      </w:r>
      <w:r w:rsidR="00581FDB">
        <w:rPr>
          <w:rFonts w:ascii="PT Astra Serif" w:hAnsi="PT Astra Serif"/>
          <w:sz w:val="26"/>
          <w:szCs w:val="26"/>
        </w:rPr>
        <w:t>п</w:t>
      </w:r>
      <w:r w:rsidRPr="00C71EFF">
        <w:rPr>
          <w:rFonts w:ascii="PT Astra Serif" w:hAnsi="PT Astra Serif"/>
          <w:sz w:val="26"/>
          <w:szCs w:val="26"/>
        </w:rPr>
        <w:t>остановление Правительства РФ от 04.07.2018 № 783, которым установлены Правила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(Правила № 783), полагая, что сумма неустойки подлежит списанию.</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Однако, поскольку обязательства по контракту не исполнены в полном объеме, суды первой и апелляционной инстанции отклонили указанный довод Поставщика.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Суды признали требование о взыскании неустойки обоснованным, удовлетворили исковые требования Заказчика в полном объеме.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Не согласившись с решениями судов, Поставщик обратился с кассационной жалобой.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Суд кассационной инстанции, удовлетворяя требования Поставщика, исходил из того, что, поскольку Заказчик, не дожидаясь выполнения поставки по контракту, инициировал исковое производство по взысканию неустойки, то возражение Поставщика относительно исковых требований со ссылкой на необходимость списания неустойки является надлежащим способом защиты своих прав.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Поскольку неустойка составляет менее 5% цены контракта, то она подлежит списанию.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При этом суд отметил, что исходя из Правил № 783, списание начисленных поставщику (подрядчику, исполнителю) сумм неустоек (штрафов, пеней) в связи с ненадлежащим исполнением контракта при определенных условиях является именно обязанностью государственного заказчика, поскольку данные действия призваны быть одной из мер поддержки исполнителей по государственным заказам. Несовершение </w:t>
      </w:r>
      <w:r w:rsidRPr="00C71EFF">
        <w:rPr>
          <w:rFonts w:ascii="PT Astra Serif" w:hAnsi="PT Astra Serif"/>
          <w:sz w:val="26"/>
          <w:szCs w:val="26"/>
        </w:rPr>
        <w:lastRenderedPageBreak/>
        <w:t xml:space="preserve">заказчиком действий по учету возникшей задолженности не может служить основанием для отказа в списании сумм неустоек.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Суд кассационной инстанции удовлетворил требования Поставщика, отменил решения нижестоящих судов, отказал в удовлетворении иска Заказчика о взыскании неустоек с Поставщика.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Не согласившись с решением суда кассационной инстанции, Заказчик обратился с жалобой в Верховный суд Российской Федерации.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Верховный суд Российской Федерации отметил, что судом кассационной инстанции не учтено следующее.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Согласно пункту 2 Правил № 783 в качестве общего правила установлено, что списание начисленных и неуплаченных сумм неустоек (штрафов, пеней) осуществляется заказчиком по контрактам, обязательства по которым исполнены в полном объеме.</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В настоящее время контракт является действующим, обязательства Поставщиком не исполнены.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Соответственно, списание начисленных и неуплаченных сумм неустоек до момента исполнения Поставщиком обязательств по контракту невозможно. </w:t>
      </w:r>
    </w:p>
    <w:p w:rsidR="00C71EFF" w:rsidRPr="00C71EFF" w:rsidRDefault="00C71EFF" w:rsidP="00C71EFF">
      <w:pPr>
        <w:tabs>
          <w:tab w:val="left" w:pos="4410"/>
        </w:tabs>
        <w:ind w:firstLine="709"/>
        <w:jc w:val="both"/>
        <w:rPr>
          <w:rFonts w:ascii="PT Astra Serif" w:hAnsi="PT Astra Serif"/>
          <w:sz w:val="26"/>
          <w:szCs w:val="26"/>
        </w:rPr>
      </w:pPr>
      <w:r w:rsidRPr="00C71EFF">
        <w:rPr>
          <w:rFonts w:ascii="PT Astra Serif" w:hAnsi="PT Astra Serif"/>
          <w:sz w:val="26"/>
          <w:szCs w:val="26"/>
        </w:rPr>
        <w:t xml:space="preserve">Суд удовлетворил требования Заказчика, отменил решение кассационного суда, оставил в силе решения судов первой и апелляционной инстанции.  </w:t>
      </w:r>
    </w:p>
    <w:p w:rsidR="00C71EFF" w:rsidRPr="00B30353" w:rsidRDefault="00C71EFF" w:rsidP="00B30353">
      <w:pPr>
        <w:tabs>
          <w:tab w:val="left" w:pos="4410"/>
        </w:tabs>
        <w:ind w:firstLine="709"/>
        <w:jc w:val="both"/>
        <w:rPr>
          <w:rFonts w:ascii="PT Astra Serif" w:hAnsi="PT Astra Serif"/>
          <w:sz w:val="26"/>
          <w:szCs w:val="26"/>
        </w:rPr>
      </w:pPr>
    </w:p>
    <w:sectPr w:rsidR="00C71EFF" w:rsidRPr="00B30353"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E18" w:rsidRDefault="00490E18" w:rsidP="00DF12FF">
      <w:r>
        <w:separator/>
      </w:r>
    </w:p>
  </w:endnote>
  <w:endnote w:type="continuationSeparator" w:id="0">
    <w:p w:rsidR="00490E18" w:rsidRDefault="00490E18"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E18" w:rsidRDefault="00490E18" w:rsidP="00DF12FF">
      <w:r>
        <w:separator/>
      </w:r>
    </w:p>
  </w:footnote>
  <w:footnote w:type="continuationSeparator" w:id="0">
    <w:p w:rsidR="00490E18" w:rsidRDefault="00490E18"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724C83">
          <w:rPr>
            <w:noProof/>
          </w:rPr>
          <w:t>3</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5"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5"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0"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9"/>
  </w:num>
  <w:num w:numId="2">
    <w:abstractNumId w:val="43"/>
  </w:num>
  <w:num w:numId="3">
    <w:abstractNumId w:val="28"/>
  </w:num>
  <w:num w:numId="4">
    <w:abstractNumId w:val="5"/>
  </w:num>
  <w:num w:numId="5">
    <w:abstractNumId w:val="11"/>
  </w:num>
  <w:num w:numId="6">
    <w:abstractNumId w:val="32"/>
  </w:num>
  <w:num w:numId="7">
    <w:abstractNumId w:val="35"/>
  </w:num>
  <w:num w:numId="8">
    <w:abstractNumId w:val="22"/>
  </w:num>
  <w:num w:numId="9">
    <w:abstractNumId w:val="23"/>
  </w:num>
  <w:num w:numId="10">
    <w:abstractNumId w:val="17"/>
  </w:num>
  <w:num w:numId="11">
    <w:abstractNumId w:val="34"/>
  </w:num>
  <w:num w:numId="12">
    <w:abstractNumId w:val="46"/>
  </w:num>
  <w:num w:numId="13">
    <w:abstractNumId w:val="13"/>
  </w:num>
  <w:num w:numId="14">
    <w:abstractNumId w:val="1"/>
  </w:num>
  <w:num w:numId="15">
    <w:abstractNumId w:val="40"/>
  </w:num>
  <w:num w:numId="16">
    <w:abstractNumId w:val="27"/>
  </w:num>
  <w:num w:numId="17">
    <w:abstractNumId w:val="18"/>
  </w:num>
  <w:num w:numId="18">
    <w:abstractNumId w:val="8"/>
  </w:num>
  <w:num w:numId="19">
    <w:abstractNumId w:val="14"/>
  </w:num>
  <w:num w:numId="20">
    <w:abstractNumId w:val="4"/>
  </w:num>
  <w:num w:numId="21">
    <w:abstractNumId w:val="31"/>
  </w:num>
  <w:num w:numId="22">
    <w:abstractNumId w:val="26"/>
  </w:num>
  <w:num w:numId="23">
    <w:abstractNumId w:val="38"/>
  </w:num>
  <w:num w:numId="24">
    <w:abstractNumId w:val="3"/>
  </w:num>
  <w:num w:numId="25">
    <w:abstractNumId w:val="0"/>
  </w:num>
  <w:num w:numId="26">
    <w:abstractNumId w:val="29"/>
  </w:num>
  <w:num w:numId="27">
    <w:abstractNumId w:val="25"/>
  </w:num>
  <w:num w:numId="28">
    <w:abstractNumId w:val="37"/>
  </w:num>
  <w:num w:numId="29">
    <w:abstractNumId w:val="30"/>
  </w:num>
  <w:num w:numId="30">
    <w:abstractNumId w:val="21"/>
  </w:num>
  <w:num w:numId="31">
    <w:abstractNumId w:val="16"/>
  </w:num>
  <w:num w:numId="32">
    <w:abstractNumId w:val="45"/>
  </w:num>
  <w:num w:numId="33">
    <w:abstractNumId w:val="33"/>
  </w:num>
  <w:num w:numId="34">
    <w:abstractNumId w:val="20"/>
  </w:num>
  <w:num w:numId="35">
    <w:abstractNumId w:val="19"/>
  </w:num>
  <w:num w:numId="36">
    <w:abstractNumId w:val="7"/>
  </w:num>
  <w:num w:numId="37">
    <w:abstractNumId w:val="10"/>
  </w:num>
  <w:num w:numId="38">
    <w:abstractNumId w:val="24"/>
  </w:num>
  <w:num w:numId="39">
    <w:abstractNumId w:val="2"/>
  </w:num>
  <w:num w:numId="40">
    <w:abstractNumId w:val="44"/>
  </w:num>
  <w:num w:numId="41">
    <w:abstractNumId w:val="15"/>
  </w:num>
  <w:num w:numId="42">
    <w:abstractNumId w:val="12"/>
  </w:num>
  <w:num w:numId="43">
    <w:abstractNumId w:val="6"/>
  </w:num>
  <w:num w:numId="44">
    <w:abstractNumId w:val="9"/>
  </w:num>
  <w:num w:numId="45">
    <w:abstractNumId w:val="36"/>
  </w:num>
  <w:num w:numId="46">
    <w:abstractNumId w:val="41"/>
  </w:num>
  <w:num w:numId="47">
    <w:abstractNumId w:val="4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20F3E"/>
    <w:rsid w:val="000221BC"/>
    <w:rsid w:val="0002324E"/>
    <w:rsid w:val="00023749"/>
    <w:rsid w:val="00025D3E"/>
    <w:rsid w:val="00026596"/>
    <w:rsid w:val="00027281"/>
    <w:rsid w:val="00027C2B"/>
    <w:rsid w:val="000308F1"/>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FE4"/>
    <w:rsid w:val="00156A28"/>
    <w:rsid w:val="00157E62"/>
    <w:rsid w:val="00163250"/>
    <w:rsid w:val="0016385B"/>
    <w:rsid w:val="001648AD"/>
    <w:rsid w:val="00166BA8"/>
    <w:rsid w:val="00166CE1"/>
    <w:rsid w:val="001675D9"/>
    <w:rsid w:val="00167C5D"/>
    <w:rsid w:val="001711A7"/>
    <w:rsid w:val="00173035"/>
    <w:rsid w:val="0017326B"/>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C26"/>
    <w:rsid w:val="002B0859"/>
    <w:rsid w:val="002B181B"/>
    <w:rsid w:val="002B1E1F"/>
    <w:rsid w:val="002B2A77"/>
    <w:rsid w:val="002B2E8B"/>
    <w:rsid w:val="002B47B0"/>
    <w:rsid w:val="002B51D7"/>
    <w:rsid w:val="002B53A2"/>
    <w:rsid w:val="002B79EB"/>
    <w:rsid w:val="002C02F1"/>
    <w:rsid w:val="002C090F"/>
    <w:rsid w:val="002C1003"/>
    <w:rsid w:val="002C123B"/>
    <w:rsid w:val="002C1287"/>
    <w:rsid w:val="002C158E"/>
    <w:rsid w:val="002C1C15"/>
    <w:rsid w:val="002C24FD"/>
    <w:rsid w:val="002D027E"/>
    <w:rsid w:val="002D28E8"/>
    <w:rsid w:val="002D2CE9"/>
    <w:rsid w:val="002D31E4"/>
    <w:rsid w:val="002D4585"/>
    <w:rsid w:val="002D5456"/>
    <w:rsid w:val="002D5EB7"/>
    <w:rsid w:val="002D6CDE"/>
    <w:rsid w:val="002E03D4"/>
    <w:rsid w:val="002E0F4D"/>
    <w:rsid w:val="002E1C2B"/>
    <w:rsid w:val="002E2E5F"/>
    <w:rsid w:val="002E3384"/>
    <w:rsid w:val="002E36C0"/>
    <w:rsid w:val="002E4ADD"/>
    <w:rsid w:val="002E6688"/>
    <w:rsid w:val="002E6C73"/>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7258B"/>
    <w:rsid w:val="00373625"/>
    <w:rsid w:val="00376586"/>
    <w:rsid w:val="00377B0B"/>
    <w:rsid w:val="00380711"/>
    <w:rsid w:val="003814C3"/>
    <w:rsid w:val="003818EC"/>
    <w:rsid w:val="00382E6F"/>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0BF1"/>
    <w:rsid w:val="003D0F85"/>
    <w:rsid w:val="003D21B6"/>
    <w:rsid w:val="003D468B"/>
    <w:rsid w:val="003D5533"/>
    <w:rsid w:val="003D59CB"/>
    <w:rsid w:val="003D7D5D"/>
    <w:rsid w:val="003E00D6"/>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17310"/>
    <w:rsid w:val="0042009C"/>
    <w:rsid w:val="00420622"/>
    <w:rsid w:val="0042169D"/>
    <w:rsid w:val="00421B9F"/>
    <w:rsid w:val="00421C6B"/>
    <w:rsid w:val="004224F3"/>
    <w:rsid w:val="004244D3"/>
    <w:rsid w:val="00424666"/>
    <w:rsid w:val="00425FB1"/>
    <w:rsid w:val="00427A21"/>
    <w:rsid w:val="004307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1903"/>
    <w:rsid w:val="0048428A"/>
    <w:rsid w:val="00484FF7"/>
    <w:rsid w:val="0048686E"/>
    <w:rsid w:val="00487BB3"/>
    <w:rsid w:val="00487CBA"/>
    <w:rsid w:val="00490284"/>
    <w:rsid w:val="00490DED"/>
    <w:rsid w:val="00490E18"/>
    <w:rsid w:val="00491840"/>
    <w:rsid w:val="00492638"/>
    <w:rsid w:val="00493FB3"/>
    <w:rsid w:val="0049434B"/>
    <w:rsid w:val="00494421"/>
    <w:rsid w:val="00494CE0"/>
    <w:rsid w:val="00495731"/>
    <w:rsid w:val="004963A4"/>
    <w:rsid w:val="00496975"/>
    <w:rsid w:val="004A0698"/>
    <w:rsid w:val="004A1B19"/>
    <w:rsid w:val="004A2AA3"/>
    <w:rsid w:val="004A5C38"/>
    <w:rsid w:val="004A629A"/>
    <w:rsid w:val="004A670D"/>
    <w:rsid w:val="004A682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3392"/>
    <w:rsid w:val="004F4797"/>
    <w:rsid w:val="004F6353"/>
    <w:rsid w:val="004F74F8"/>
    <w:rsid w:val="00500972"/>
    <w:rsid w:val="005017E7"/>
    <w:rsid w:val="00501DCD"/>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2607"/>
    <w:rsid w:val="005A2B59"/>
    <w:rsid w:val="005A372C"/>
    <w:rsid w:val="005A4594"/>
    <w:rsid w:val="005A5ACD"/>
    <w:rsid w:val="005A5BB2"/>
    <w:rsid w:val="005A7181"/>
    <w:rsid w:val="005B04BB"/>
    <w:rsid w:val="005B2712"/>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5D6"/>
    <w:rsid w:val="00670EA5"/>
    <w:rsid w:val="00671B28"/>
    <w:rsid w:val="00671D7D"/>
    <w:rsid w:val="0067360E"/>
    <w:rsid w:val="00673C63"/>
    <w:rsid w:val="00674051"/>
    <w:rsid w:val="00674E9E"/>
    <w:rsid w:val="006776E8"/>
    <w:rsid w:val="00682830"/>
    <w:rsid w:val="0068289B"/>
    <w:rsid w:val="00683067"/>
    <w:rsid w:val="00684B78"/>
    <w:rsid w:val="006856CB"/>
    <w:rsid w:val="006857EE"/>
    <w:rsid w:val="00685D75"/>
    <w:rsid w:val="0068696D"/>
    <w:rsid w:val="006879A3"/>
    <w:rsid w:val="006911D1"/>
    <w:rsid w:val="00691B54"/>
    <w:rsid w:val="00692060"/>
    <w:rsid w:val="00692DAA"/>
    <w:rsid w:val="00693D80"/>
    <w:rsid w:val="00694E3B"/>
    <w:rsid w:val="00695C73"/>
    <w:rsid w:val="00696357"/>
    <w:rsid w:val="00697466"/>
    <w:rsid w:val="006A0066"/>
    <w:rsid w:val="006A057C"/>
    <w:rsid w:val="006A0B90"/>
    <w:rsid w:val="006A0C9D"/>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42C"/>
    <w:rsid w:val="00705F8B"/>
    <w:rsid w:val="0070600A"/>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4C83"/>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BAF"/>
    <w:rsid w:val="00777F5C"/>
    <w:rsid w:val="007806DD"/>
    <w:rsid w:val="00782EAD"/>
    <w:rsid w:val="007833D5"/>
    <w:rsid w:val="007851EF"/>
    <w:rsid w:val="00786C80"/>
    <w:rsid w:val="00786D6B"/>
    <w:rsid w:val="00787CBE"/>
    <w:rsid w:val="00787FAF"/>
    <w:rsid w:val="0079090D"/>
    <w:rsid w:val="00791859"/>
    <w:rsid w:val="00791AA3"/>
    <w:rsid w:val="00792BF3"/>
    <w:rsid w:val="00792DA8"/>
    <w:rsid w:val="00793E9A"/>
    <w:rsid w:val="00794039"/>
    <w:rsid w:val="00795BB6"/>
    <w:rsid w:val="0079607F"/>
    <w:rsid w:val="007969DC"/>
    <w:rsid w:val="007975E1"/>
    <w:rsid w:val="007A07A9"/>
    <w:rsid w:val="007A22B5"/>
    <w:rsid w:val="007A32E8"/>
    <w:rsid w:val="007A43B0"/>
    <w:rsid w:val="007A7BFC"/>
    <w:rsid w:val="007B0944"/>
    <w:rsid w:val="007B0A52"/>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E74B3"/>
    <w:rsid w:val="007F16AB"/>
    <w:rsid w:val="007F1F49"/>
    <w:rsid w:val="007F22A9"/>
    <w:rsid w:val="007F26F9"/>
    <w:rsid w:val="007F274D"/>
    <w:rsid w:val="007F4F31"/>
    <w:rsid w:val="007F4F3D"/>
    <w:rsid w:val="007F74D0"/>
    <w:rsid w:val="00803F3E"/>
    <w:rsid w:val="00804C90"/>
    <w:rsid w:val="00806264"/>
    <w:rsid w:val="008067BF"/>
    <w:rsid w:val="00806884"/>
    <w:rsid w:val="00807230"/>
    <w:rsid w:val="00807A0A"/>
    <w:rsid w:val="008117F4"/>
    <w:rsid w:val="008124CD"/>
    <w:rsid w:val="00812DB2"/>
    <w:rsid w:val="00813838"/>
    <w:rsid w:val="008166BE"/>
    <w:rsid w:val="0082093F"/>
    <w:rsid w:val="00820E7A"/>
    <w:rsid w:val="00822832"/>
    <w:rsid w:val="008228A3"/>
    <w:rsid w:val="00822B5A"/>
    <w:rsid w:val="00824DFA"/>
    <w:rsid w:val="008257CC"/>
    <w:rsid w:val="008257EF"/>
    <w:rsid w:val="008259E8"/>
    <w:rsid w:val="00825CDB"/>
    <w:rsid w:val="008271C3"/>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3CCD"/>
    <w:rsid w:val="00855BDB"/>
    <w:rsid w:val="0085737C"/>
    <w:rsid w:val="008576AF"/>
    <w:rsid w:val="00857B92"/>
    <w:rsid w:val="00862014"/>
    <w:rsid w:val="008629BD"/>
    <w:rsid w:val="00863359"/>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0C65"/>
    <w:rsid w:val="00881BDA"/>
    <w:rsid w:val="0088315B"/>
    <w:rsid w:val="00884252"/>
    <w:rsid w:val="0088471B"/>
    <w:rsid w:val="00884BE9"/>
    <w:rsid w:val="0088511B"/>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1033"/>
    <w:rsid w:val="00912413"/>
    <w:rsid w:val="00912623"/>
    <w:rsid w:val="00912D09"/>
    <w:rsid w:val="009154A1"/>
    <w:rsid w:val="00915C7E"/>
    <w:rsid w:val="009161A0"/>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253C"/>
    <w:rsid w:val="009826ED"/>
    <w:rsid w:val="00983866"/>
    <w:rsid w:val="00985DF3"/>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D2"/>
    <w:rsid w:val="009B100E"/>
    <w:rsid w:val="009B1202"/>
    <w:rsid w:val="009B15D4"/>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9F9"/>
    <w:rsid w:val="009D5B2C"/>
    <w:rsid w:val="009D65D8"/>
    <w:rsid w:val="009D737E"/>
    <w:rsid w:val="009E0494"/>
    <w:rsid w:val="009E1215"/>
    <w:rsid w:val="009E18CC"/>
    <w:rsid w:val="009E1CF3"/>
    <w:rsid w:val="009E22E2"/>
    <w:rsid w:val="009E2E4F"/>
    <w:rsid w:val="009E33CD"/>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7C4B"/>
    <w:rsid w:val="00B07DDE"/>
    <w:rsid w:val="00B10E5C"/>
    <w:rsid w:val="00B11A13"/>
    <w:rsid w:val="00B12302"/>
    <w:rsid w:val="00B1440B"/>
    <w:rsid w:val="00B15F71"/>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61F5"/>
    <w:rsid w:val="00B57292"/>
    <w:rsid w:val="00B5772D"/>
    <w:rsid w:val="00B60255"/>
    <w:rsid w:val="00B60398"/>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2F00"/>
    <w:rsid w:val="00B85A53"/>
    <w:rsid w:val="00B861DE"/>
    <w:rsid w:val="00B86AA1"/>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12F8"/>
    <w:rsid w:val="00BA19D5"/>
    <w:rsid w:val="00BA4E05"/>
    <w:rsid w:val="00BA5C27"/>
    <w:rsid w:val="00BA67DE"/>
    <w:rsid w:val="00BA6DEE"/>
    <w:rsid w:val="00BA7057"/>
    <w:rsid w:val="00BA794B"/>
    <w:rsid w:val="00BA79A8"/>
    <w:rsid w:val="00BB0328"/>
    <w:rsid w:val="00BB0957"/>
    <w:rsid w:val="00BB15A7"/>
    <w:rsid w:val="00BB2643"/>
    <w:rsid w:val="00BB42E7"/>
    <w:rsid w:val="00BB4B7F"/>
    <w:rsid w:val="00BB5372"/>
    <w:rsid w:val="00BB5F50"/>
    <w:rsid w:val="00BC05D7"/>
    <w:rsid w:val="00BC09D4"/>
    <w:rsid w:val="00BC0B69"/>
    <w:rsid w:val="00BC186E"/>
    <w:rsid w:val="00BC371E"/>
    <w:rsid w:val="00BC3E1C"/>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5821"/>
    <w:rsid w:val="00BF6075"/>
    <w:rsid w:val="00BF61DE"/>
    <w:rsid w:val="00BF6421"/>
    <w:rsid w:val="00BF6C5C"/>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1875"/>
    <w:rsid w:val="00C51A1C"/>
    <w:rsid w:val="00C524B2"/>
    <w:rsid w:val="00C52D01"/>
    <w:rsid w:val="00C534B1"/>
    <w:rsid w:val="00C53EDF"/>
    <w:rsid w:val="00C54234"/>
    <w:rsid w:val="00C543A4"/>
    <w:rsid w:val="00C54F71"/>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871D5"/>
    <w:rsid w:val="00C906BB"/>
    <w:rsid w:val="00C91507"/>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7F1"/>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34D8"/>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D2A"/>
    <w:rsid w:val="00D713E4"/>
    <w:rsid w:val="00D71B03"/>
    <w:rsid w:val="00D71EEE"/>
    <w:rsid w:val="00D72C21"/>
    <w:rsid w:val="00D72F37"/>
    <w:rsid w:val="00D74034"/>
    <w:rsid w:val="00D7441C"/>
    <w:rsid w:val="00D75BEB"/>
    <w:rsid w:val="00D76936"/>
    <w:rsid w:val="00D77054"/>
    <w:rsid w:val="00D806E6"/>
    <w:rsid w:val="00D808B4"/>
    <w:rsid w:val="00D80D52"/>
    <w:rsid w:val="00D8234F"/>
    <w:rsid w:val="00D8301F"/>
    <w:rsid w:val="00D83C95"/>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15A"/>
    <w:rsid w:val="00DB290C"/>
    <w:rsid w:val="00DB3378"/>
    <w:rsid w:val="00DB5146"/>
    <w:rsid w:val="00DB548A"/>
    <w:rsid w:val="00DB595D"/>
    <w:rsid w:val="00DB59BE"/>
    <w:rsid w:val="00DB5A91"/>
    <w:rsid w:val="00DB68F7"/>
    <w:rsid w:val="00DB6FB6"/>
    <w:rsid w:val="00DB7693"/>
    <w:rsid w:val="00DC1660"/>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FFA"/>
    <w:rsid w:val="00E25390"/>
    <w:rsid w:val="00E265E0"/>
    <w:rsid w:val="00E26711"/>
    <w:rsid w:val="00E2687C"/>
    <w:rsid w:val="00E27094"/>
    <w:rsid w:val="00E27A1B"/>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FA8"/>
    <w:rsid w:val="00E432CA"/>
    <w:rsid w:val="00E435AA"/>
    <w:rsid w:val="00E444D8"/>
    <w:rsid w:val="00E45B85"/>
    <w:rsid w:val="00E466B9"/>
    <w:rsid w:val="00E46E73"/>
    <w:rsid w:val="00E46F99"/>
    <w:rsid w:val="00E4745C"/>
    <w:rsid w:val="00E47B91"/>
    <w:rsid w:val="00E500ED"/>
    <w:rsid w:val="00E51A25"/>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0667"/>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3324"/>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37C"/>
    <w:rsid w:val="00F2099F"/>
    <w:rsid w:val="00F2150F"/>
    <w:rsid w:val="00F216F3"/>
    <w:rsid w:val="00F21F51"/>
    <w:rsid w:val="00F22A47"/>
    <w:rsid w:val="00F23A07"/>
    <w:rsid w:val="00F2405E"/>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3CA7"/>
    <w:rsid w:val="00F43D4E"/>
    <w:rsid w:val="00F44489"/>
    <w:rsid w:val="00F44939"/>
    <w:rsid w:val="00F44B96"/>
    <w:rsid w:val="00F44C47"/>
    <w:rsid w:val="00F44EC9"/>
    <w:rsid w:val="00F44F82"/>
    <w:rsid w:val="00F46028"/>
    <w:rsid w:val="00F467CB"/>
    <w:rsid w:val="00F46B2A"/>
    <w:rsid w:val="00F47007"/>
    <w:rsid w:val="00F47B5B"/>
    <w:rsid w:val="00F5002C"/>
    <w:rsid w:val="00F50E56"/>
    <w:rsid w:val="00F52138"/>
    <w:rsid w:val="00F53493"/>
    <w:rsid w:val="00F53E64"/>
    <w:rsid w:val="00F555E1"/>
    <w:rsid w:val="00F57B0A"/>
    <w:rsid w:val="00F602EC"/>
    <w:rsid w:val="00F609D3"/>
    <w:rsid w:val="00F613D0"/>
    <w:rsid w:val="00F6253D"/>
    <w:rsid w:val="00F62F73"/>
    <w:rsid w:val="00F63C77"/>
    <w:rsid w:val="00F63EE0"/>
    <w:rsid w:val="00F63F53"/>
    <w:rsid w:val="00F6541D"/>
    <w:rsid w:val="00F65ABD"/>
    <w:rsid w:val="00F65E82"/>
    <w:rsid w:val="00F67877"/>
    <w:rsid w:val="00F67E52"/>
    <w:rsid w:val="00F67EB2"/>
    <w:rsid w:val="00F7093D"/>
    <w:rsid w:val="00F714FD"/>
    <w:rsid w:val="00F732D9"/>
    <w:rsid w:val="00F74AFF"/>
    <w:rsid w:val="00F74B76"/>
    <w:rsid w:val="00F766B0"/>
    <w:rsid w:val="00F7696A"/>
    <w:rsid w:val="00F7726E"/>
    <w:rsid w:val="00F77784"/>
    <w:rsid w:val="00F80F1D"/>
    <w:rsid w:val="00F80FC7"/>
    <w:rsid w:val="00F81D3B"/>
    <w:rsid w:val="00F827DA"/>
    <w:rsid w:val="00F82A0A"/>
    <w:rsid w:val="00F84623"/>
    <w:rsid w:val="00F84ADF"/>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5222"/>
    <w:rsid w:val="00FB6DF3"/>
    <w:rsid w:val="00FC1639"/>
    <w:rsid w:val="00FC3476"/>
    <w:rsid w:val="00FC3E90"/>
    <w:rsid w:val="00FC491E"/>
    <w:rsid w:val="00FC5102"/>
    <w:rsid w:val="00FC5C4E"/>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35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63F89-9418-4FCD-92AE-5D2819F78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3026</Words>
  <Characters>17252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Брагина Мария Александровна</cp:lastModifiedBy>
  <cp:revision>2</cp:revision>
  <cp:lastPrinted>2024-09-02T07:50:00Z</cp:lastPrinted>
  <dcterms:created xsi:type="dcterms:W3CDTF">2024-09-09T07:06:00Z</dcterms:created>
  <dcterms:modified xsi:type="dcterms:W3CDTF">2024-09-09T07:06:00Z</dcterms:modified>
</cp:coreProperties>
</file>