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11437B">
        <w:rPr>
          <w:rFonts w:ascii="PT Astra Serif" w:hAnsi="PT Astra Serif"/>
          <w:b/>
          <w:color w:val="000000" w:themeColor="text1"/>
        </w:rPr>
        <w:t>2</w:t>
      </w:r>
      <w:r w:rsidR="00643C13">
        <w:rPr>
          <w:rFonts w:ascii="PT Astra Serif" w:hAnsi="PT Astra Serif"/>
          <w:b/>
          <w:color w:val="000000" w:themeColor="text1"/>
        </w:rPr>
        <w:t>7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4B1143">
        <w:rPr>
          <w:rFonts w:ascii="PT Astra Serif" w:hAnsi="PT Astra Serif"/>
          <w:b/>
          <w:color w:val="000000" w:themeColor="text1"/>
        </w:rPr>
        <w:t>01</w:t>
      </w:r>
      <w:r w:rsidR="00D34BC2">
        <w:rPr>
          <w:rFonts w:ascii="PT Astra Serif" w:hAnsi="PT Astra Serif"/>
          <w:b/>
          <w:color w:val="000000" w:themeColor="text1"/>
        </w:rPr>
        <w:t>.202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643C1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643C13">
              <w:rPr>
                <w:rFonts w:ascii="PT Astra Serif" w:hAnsi="PT Astra Serif"/>
                <w:b/>
                <w:sz w:val="26"/>
                <w:szCs w:val="26"/>
              </w:rPr>
              <w:t>Приказ ФАС России от 22.11.2024 № 894/24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643C13" w:rsidP="00EE72C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опубликовал</w:t>
            </w:r>
            <w:r w:rsidR="003661E9">
              <w:rPr>
                <w:rFonts w:ascii="PT Astra Serif" w:hAnsi="PT Astra Serif"/>
                <w:sz w:val="26"/>
                <w:szCs w:val="26"/>
              </w:rPr>
              <w:t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порядок определения НМЦК при закупке моторного топлива, включая дизельное топливо, автомобильный и авиационный бензин</w:t>
            </w:r>
          </w:p>
        </w:tc>
      </w:tr>
      <w:tr w:rsidR="00EE72C8" w:rsidRPr="00E82117" w:rsidTr="009A33C5">
        <w:trPr>
          <w:trHeight w:val="70"/>
        </w:trPr>
        <w:tc>
          <w:tcPr>
            <w:tcW w:w="10206" w:type="dxa"/>
            <w:gridSpan w:val="2"/>
          </w:tcPr>
          <w:p w:rsidR="00EE72C8" w:rsidRPr="00E82117" w:rsidRDefault="00EE72C8" w:rsidP="00643C1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643C13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28.11.2024 № 24-06-06/119249</w:t>
            </w:r>
          </w:p>
        </w:tc>
      </w:tr>
      <w:tr w:rsidR="00EE72C8" w:rsidRPr="00582FD6" w:rsidTr="009A33C5">
        <w:trPr>
          <w:trHeight w:val="70"/>
        </w:trPr>
        <w:tc>
          <w:tcPr>
            <w:tcW w:w="10206" w:type="dxa"/>
            <w:gridSpan w:val="2"/>
          </w:tcPr>
          <w:p w:rsidR="00EE72C8" w:rsidRPr="00582FD6" w:rsidRDefault="00643C13" w:rsidP="00C7673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</w:t>
            </w:r>
            <w:r w:rsidR="009130A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7673D">
              <w:rPr>
                <w:rFonts w:ascii="PT Astra Serif" w:hAnsi="PT Astra Serif"/>
                <w:sz w:val="26"/>
                <w:szCs w:val="26"/>
              </w:rPr>
              <w:t>освобождения от обеспечения при совместной закупке с неопределенным объемом у СМП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3C623F" w:rsidRPr="00035C1B" w:rsidTr="003C623F">
        <w:trPr>
          <w:trHeight w:val="70"/>
        </w:trPr>
        <w:tc>
          <w:tcPr>
            <w:tcW w:w="4962" w:type="dxa"/>
            <w:vAlign w:val="center"/>
          </w:tcPr>
          <w:p w:rsidR="003C623F" w:rsidRPr="00F30D1F" w:rsidRDefault="003C623F" w:rsidP="00A60473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10.01.2025 по делу № А83-26076/2022</w:t>
            </w:r>
          </w:p>
        </w:tc>
        <w:tc>
          <w:tcPr>
            <w:tcW w:w="5244" w:type="dxa"/>
          </w:tcPr>
          <w:p w:rsidR="003C623F" w:rsidRPr="00035C1B" w:rsidRDefault="003C623F" w:rsidP="00A604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D2D1F">
              <w:rPr>
                <w:rFonts w:ascii="PT Astra Serif" w:hAnsi="PT Astra Serif"/>
                <w:sz w:val="26"/>
                <w:szCs w:val="26"/>
              </w:rPr>
              <w:t>Суды признали недействительными торг</w:t>
            </w:r>
            <w:r>
              <w:rPr>
                <w:rFonts w:ascii="PT Astra Serif" w:hAnsi="PT Astra Serif"/>
                <w:sz w:val="26"/>
                <w:szCs w:val="26"/>
              </w:rPr>
              <w:t>и в форме электронного аукциона</w:t>
            </w:r>
            <w:r w:rsidRPr="009D2D1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Pr="009D2D1F">
              <w:rPr>
                <w:rFonts w:ascii="PT Astra Serif" w:hAnsi="PT Astra Serif"/>
                <w:sz w:val="26"/>
                <w:szCs w:val="26"/>
              </w:rPr>
              <w:t xml:space="preserve"> договор, заключенный по итогам торгов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вследствие нарушений, допущенных Заказчиком: в </w:t>
            </w:r>
            <w:r w:rsidRPr="00D05FF5">
              <w:rPr>
                <w:rFonts w:ascii="PT Astra Serif" w:hAnsi="PT Astra Serif"/>
                <w:sz w:val="26"/>
                <w:szCs w:val="26"/>
              </w:rPr>
              <w:t xml:space="preserve">описание объекта закупки включены параметры товара, которые соответствуют только конкретному </w:t>
            </w:r>
            <w:r>
              <w:rPr>
                <w:rFonts w:ascii="PT Astra Serif" w:hAnsi="PT Astra Serif"/>
                <w:sz w:val="26"/>
                <w:szCs w:val="26"/>
              </w:rPr>
              <w:t>товару</w:t>
            </w:r>
            <w:r w:rsidRPr="00D05FF5">
              <w:rPr>
                <w:rFonts w:ascii="PT Astra Serif" w:hAnsi="PT Astra Serif"/>
                <w:sz w:val="26"/>
                <w:szCs w:val="26"/>
              </w:rPr>
              <w:t xml:space="preserve"> конкретного производителя при отсутствии обоснования объективной необходимости в приобретении </w:t>
            </w:r>
            <w:r>
              <w:rPr>
                <w:rFonts w:ascii="PT Astra Serif" w:hAnsi="PT Astra Serif"/>
                <w:sz w:val="26"/>
                <w:szCs w:val="26"/>
              </w:rPr>
              <w:t>товара</w:t>
            </w:r>
            <w:r w:rsidRPr="00D05FF5">
              <w:rPr>
                <w:rFonts w:ascii="PT Astra Serif" w:hAnsi="PT Astra Serif"/>
                <w:sz w:val="26"/>
                <w:szCs w:val="26"/>
              </w:rPr>
              <w:t xml:space="preserve"> только с такими характеристиками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; </w:t>
            </w:r>
            <w:r w:rsidRPr="00E442AB">
              <w:rPr>
                <w:rFonts w:ascii="PT Astra Serif" w:hAnsi="PT Astra Serif"/>
                <w:sz w:val="26"/>
                <w:szCs w:val="26"/>
              </w:rPr>
              <w:t xml:space="preserve">НМЦК </w:t>
            </w:r>
            <w:r>
              <w:rPr>
                <w:rFonts w:ascii="PT Astra Serif" w:hAnsi="PT Astra Serif"/>
                <w:sz w:val="26"/>
                <w:szCs w:val="26"/>
              </w:rPr>
              <w:t>определена с нарушениями, повлекшими существенное завышение стоимости закупленного товара</w:t>
            </w:r>
          </w:p>
        </w:tc>
      </w:tr>
      <w:tr w:rsidR="003C623F" w:rsidRPr="003A17D9" w:rsidTr="003C623F">
        <w:trPr>
          <w:trHeight w:val="70"/>
        </w:trPr>
        <w:tc>
          <w:tcPr>
            <w:tcW w:w="4962" w:type="dxa"/>
            <w:vAlign w:val="center"/>
          </w:tcPr>
          <w:p w:rsidR="003C623F" w:rsidRDefault="003C623F" w:rsidP="00A60473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Волго-Вятского округа от 21.01.2025 № А79-10327/2023</w:t>
            </w:r>
          </w:p>
        </w:tc>
        <w:tc>
          <w:tcPr>
            <w:tcW w:w="5244" w:type="dxa"/>
          </w:tcPr>
          <w:p w:rsidR="003C623F" w:rsidRPr="003A17D9" w:rsidRDefault="003C623F" w:rsidP="00A604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Суды признали недействительными муниципальные контракты, заключенные с единственным поставщиком, поскольку </w:t>
            </w:r>
            <w:r w:rsidRPr="00382F67">
              <w:rPr>
                <w:rFonts w:ascii="PT Astra Serif" w:hAnsi="PT Astra Serif"/>
                <w:sz w:val="26"/>
                <w:szCs w:val="26"/>
              </w:rPr>
              <w:t>в совокупности все контракты представляли собой единую сделку, заключенную в один день, одними и теми же сторонами, искусственно раздробленную и оформленную самостоятельными контрактами на выполнение одного и того же вида работ</w:t>
            </w:r>
          </w:p>
        </w:tc>
      </w:tr>
    </w:tbl>
    <w:p w:rsidR="009D4D52" w:rsidRDefault="009D4D52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43C13" w:rsidRPr="00643C13" w:rsidRDefault="00643C13" w:rsidP="00643C13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Приказ ФАС России от 22.11.2024 № 894/24 «</w:t>
      </w:r>
      <w:r w:rsidRPr="00643C13">
        <w:rPr>
          <w:rFonts w:ascii="PT Astra Serif" w:hAnsi="PT Astra Serif"/>
          <w:i/>
          <w:sz w:val="26"/>
          <w:szCs w:val="26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</w:t>
      </w:r>
      <w:r>
        <w:rPr>
          <w:rFonts w:ascii="PT Astra Serif" w:hAnsi="PT Astra Serif"/>
          <w:i/>
          <w:sz w:val="26"/>
          <w:szCs w:val="26"/>
        </w:rPr>
        <w:t>»</w:t>
      </w:r>
    </w:p>
    <w:p w:rsidR="0080332F" w:rsidRDefault="00643C1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43C13">
        <w:rPr>
          <w:rFonts w:ascii="PT Astra Serif" w:hAnsi="PT Astra Serif"/>
          <w:sz w:val="26"/>
          <w:szCs w:val="26"/>
        </w:rPr>
        <w:t>ФАС России опубликовал порядок определения НМЦК при закупке моторного топлива, включая автомобильный и авиационный бензин</w:t>
      </w:r>
      <w:r>
        <w:rPr>
          <w:rFonts w:ascii="PT Astra Serif" w:hAnsi="PT Astra Serif"/>
          <w:sz w:val="26"/>
          <w:szCs w:val="26"/>
        </w:rPr>
        <w:t>.</w:t>
      </w:r>
    </w:p>
    <w:p w:rsidR="00643C13" w:rsidRDefault="00643C1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 определяет единые правила расчета заказчиками НМЦК, цены контракта, заключаемого с единственным поставщиком, начальной цены единицы ТРУ.</w:t>
      </w:r>
    </w:p>
    <w:p w:rsidR="00643C13" w:rsidRDefault="00643C1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 не применяется в отношении закупок, извещения об осуществлении которых размещены в ЕИС до дня вступления в силу настоящего приказа.</w:t>
      </w:r>
    </w:p>
    <w:p w:rsidR="00643C13" w:rsidRDefault="00643C1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 вступает в силу с 03.02.2025.</w:t>
      </w:r>
    </w:p>
    <w:p w:rsidR="00643C13" w:rsidRPr="00C7673D" w:rsidRDefault="00643C13" w:rsidP="0082684A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C7673D" w:rsidRDefault="00C7673D" w:rsidP="003661E9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7673D">
        <w:rPr>
          <w:rFonts w:ascii="PT Astra Serif" w:hAnsi="PT Astra Serif"/>
          <w:i/>
          <w:sz w:val="26"/>
          <w:szCs w:val="26"/>
        </w:rPr>
        <w:t xml:space="preserve">Письмо Минфина России от 28.11.2024 № 24-06-06/119249 «О применении положений законодательства о закупках в части НМЦК в целях освобождения от </w:t>
      </w:r>
      <w:r w:rsidRPr="00C7673D">
        <w:rPr>
          <w:rFonts w:ascii="PT Astra Serif" w:hAnsi="PT Astra Serif"/>
          <w:i/>
          <w:sz w:val="26"/>
          <w:szCs w:val="26"/>
        </w:rPr>
        <w:lastRenderedPageBreak/>
        <w:t>предоставления обеспечения исполнения контракта при проведении совместной закупки с неопределенным объемом»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Частью 1 статьи 25 Закона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C7673D">
        <w:rPr>
          <w:rFonts w:ascii="PT Astra Serif" w:hAnsi="PT Astra Serif"/>
          <w:sz w:val="26"/>
          <w:szCs w:val="26"/>
        </w:rPr>
        <w:t xml:space="preserve">44-ФЗ установлено, что при проведении совместного конкурса или аукциона применяются положения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 о проведении конкурсов, аукционов, в том числе с учетом следующих особенностей: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извещение об осуществлении закупки, приглашение должны содержать начальную (максимальную) цену каждого контракта, заключаемого по результатам проведения совместного конкурса или аукциона, и сумму таких начальных (максимальных) цен, а в случае, предусмотренном частью 24 статьи 22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44-ФЗ, - начальную цену единицы товара, работы, услуги, а также начальную сумму цен указанных единиц и максимальное значение цены каждого контракта, заключаемого по результатам проведения совместного конкурса или аукциона (пункт 2); </w:t>
      </w:r>
    </w:p>
    <w:p w:rsid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контракт по результатам проведения совместного конкурса или аукциона заключается каждой стороной соглашения в порядке, предусмотренном Законом </w:t>
      </w:r>
      <w:r>
        <w:rPr>
          <w:rFonts w:ascii="PT Astra Serif" w:hAnsi="PT Astra Serif"/>
          <w:sz w:val="26"/>
          <w:szCs w:val="26"/>
        </w:rPr>
        <w:t>№ 44-ФЗ.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В случае, предусмотренном частью 24 статьи 22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44-ФЗ, в проект каждого контракта включается максимальное значение цены соответствующего контракта, а также цена единицы товара, работы, услуги, которая определяется путем уменьшения начальной цены такой единицы пропорционально снижению начальной суммы цен указанных единиц, предложенному участником закупки, с которым заключается контракт (пункт 4). 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Таким образом, контракт по результатам проведения совместного конкурса или аукциона заключается каждой стороной соглашения в порядке, предусмотренном Законом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44-ФЗ. 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Согласно части 8.1 статьи 96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44-ФЗ, освобождается от предоставления обеспечения исполнения контракта, в том числе с учетом положений статьи 37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44-ФЗ, от обеспечения гарантийных обязательств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предоставляется участником закупки до заключения контракта в случаях, установленных Законом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 для предоставления обеспечения исполнения контракта. 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 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В этой связи следует отметить, что в соответствии с частью 24 статьи 22 Закона </w:t>
      </w:r>
      <w:r>
        <w:rPr>
          <w:rFonts w:ascii="PT Astra Serif" w:hAnsi="PT Astra Serif"/>
          <w:sz w:val="26"/>
          <w:szCs w:val="26"/>
        </w:rPr>
        <w:br/>
        <w:t>№</w:t>
      </w:r>
      <w:r w:rsidRPr="00C7673D">
        <w:rPr>
          <w:rFonts w:ascii="PT Astra Serif" w:hAnsi="PT Astra Serif"/>
          <w:sz w:val="26"/>
          <w:szCs w:val="26"/>
        </w:rPr>
        <w:t xml:space="preserve"> 44-ФЗ положения Закона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Законом </w:t>
      </w:r>
      <w:r>
        <w:rPr>
          <w:rFonts w:ascii="PT Astra Serif" w:hAnsi="PT Astra Serif"/>
          <w:sz w:val="26"/>
          <w:szCs w:val="26"/>
        </w:rPr>
        <w:t>№</w:t>
      </w:r>
      <w:r w:rsidRPr="00C7673D">
        <w:rPr>
          <w:rFonts w:ascii="PT Astra Serif" w:hAnsi="PT Astra Serif"/>
          <w:sz w:val="26"/>
          <w:szCs w:val="26"/>
        </w:rPr>
        <w:t xml:space="preserve"> 44-ФЗ не установлено иное. </w:t>
      </w:r>
    </w:p>
    <w:p w:rsidR="00C7673D" w:rsidRPr="00C7673D" w:rsidRDefault="00C7673D" w:rsidP="00C7673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7673D">
        <w:rPr>
          <w:rFonts w:ascii="PT Astra Serif" w:hAnsi="PT Astra Serif"/>
          <w:sz w:val="26"/>
          <w:szCs w:val="26"/>
        </w:rPr>
        <w:t xml:space="preserve">Учитывая изложенное, участник совместной закупки освобождается от предоставления обеспечения исполнения контракта в случае предоставления информации,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пеней), сумма цен которых составляет не менее суммы максимальных значений цен всех контрактов, указанных в извещении об осуществлении совместной закупки.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lastRenderedPageBreak/>
        <w:t>Определение Верховного Суда Российской Федерации от 10.01.2025 по делу                    № А83-26076/2022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Предприятие (Заказчик) разместило извещение о проведении электронного аукциона на приобретение крана укладочного. Техническим заданием установлены требования к техническим характеристикам товара.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Победителем аукциона признано Общество, между Заказчиком и Обществом заключен договор поставки. Обязательства по договору исполнены в полном объеме.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Южную транспортную прокуратуру (далее – транспортная прокуратура) поступила информация о нарушении Предприятием законодательства о контрактной системе, бюджетного законодательства при проведении электронного аукциона.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Транспортной прокуратурой установлено, что Заказчик включил в аукционную документацию требования к закупаемому товару, которые свидетельствуют о конкретном товаре и конкретном производителе в отсутствие обоснования потребности только в таком товаре, в то время как на рынке имеется аналогичный товар других производителей, также Заказчиком допущены нарушения при формировании НМЦК, повлекшие существенное завышение стоимости закупленного товара.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Транспортная прокуратура обратилась с иском о признании недействительными торгов в форме электронного аукциона на приобретение укладочного крана и договора, заключенного по результатам торгов.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Транспортной прокуратуры, исходили из следующего.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 в аукционной документации указал технические характеристики конкретного товара конкретного производителя.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Пунктами 1, 2 Обзора судебной практики применения Закона № 44-ФЗ, утвержденного Президиумом Верховного Суда Российской Федерации 28 июня 2017, разъяснено, что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нарушениям положений статьи 33 Закона № 44-ФЗ.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Их технико-экономического обоснования приобретения укладочного </w:t>
      </w:r>
      <w:r w:rsidRPr="00575519">
        <w:rPr>
          <w:rFonts w:ascii="PT Astra Serif" w:hAnsi="PT Astra Serif"/>
          <w:sz w:val="26"/>
          <w:szCs w:val="26"/>
        </w:rPr>
        <w:t xml:space="preserve">крана </w:t>
      </w:r>
      <w:r>
        <w:rPr>
          <w:rFonts w:ascii="PT Astra Serif" w:hAnsi="PT Astra Serif"/>
          <w:sz w:val="26"/>
          <w:szCs w:val="26"/>
        </w:rPr>
        <w:t xml:space="preserve">следует, что приобретение конкретного укладочного крана необходимо для обеспечения высокой производительности по замене железнодорожного полотна и соблюдения плана-графика. Имеющиеся в наличии у Заказчика укладочные краны находятся в неудовлетворительном состоянии по причине морального устаревания, истечения срока службы.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 акта служебного расследования нарушений при приобретении укладочного крана, подписанного комиссией Заказчика, следует, что первоначально было составлено техническое задание на приобретение крана укладочного в последней модификации, предусматривающей наличие кабины; предусматривалось направить запросы на 5 моделей кранов. В дальнейшем в технико-экономическое обоснование внесены изменения путем замены листов Технического задания на поставку крана неактуальной модификации без кабины, так как кран неактуальной модификации уже был готов к поставке. Для создания видимости конкурентной процедуры к технико-экономическому обоснованию приложен запрос, содержащий 5 моделей кранов, который фактически никуда не направлялся. НМЦК сформирована на основании запроса, содержащего единственный кран.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пункту 3.7 Методических рекомендаций по применению методов определения НМЦК, цены контракта, заключаемого с единственным поставщиком (подрядчиком, исполнителем) (далее Методические рекомендации), утвержденных </w:t>
      </w:r>
      <w:r>
        <w:rPr>
          <w:rFonts w:ascii="PT Astra Serif" w:hAnsi="PT Astra Serif"/>
          <w:sz w:val="26"/>
          <w:szCs w:val="26"/>
        </w:rPr>
        <w:lastRenderedPageBreak/>
        <w:t>приказом Минэконо</w:t>
      </w:r>
      <w:r w:rsidR="00D82EBD">
        <w:rPr>
          <w:rFonts w:ascii="PT Astra Serif" w:hAnsi="PT Astra Serif"/>
          <w:sz w:val="26"/>
          <w:szCs w:val="26"/>
        </w:rPr>
        <w:t>м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развития России от 02.10.2013 № 567, в целях получения ценовой информации в отношении ТРУ для определения НМЦК рекомендуется осуществить несколько процедур, в том числе направить запросы о предоставлении ценовой информации не менее пяти поставщикам (подрядчикам, исполнителям), обладающим опытом поставок соответствующих ТРУ, информация о которых имеется в свободном доступе.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пунктом 3.19 Методических рекомендаций в целях определения НМЦК методом сопоставимых рыночных цен (анализа рынка) рекомендуется использовать не менее трех цен ТРУ, предлагаемых различными поставщиками (подрядчиками, исполнителями).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целью определения НМЦК Заказчиком была составлена таблица маркетингового исследования рынка по поставке укладочного крана. Всего поступило 5 коммерческих предложений. Однако Заказчиком фактически использованы данные двух поставщиков вместо пяти, не использованы данные других поставщиков, предложивших меньшую цену.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Кроме того, Заказчиком запрос на получение коммерческого предложения единственному производителю укладочного крана не направлен.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в описание объекта закупки включены параметры товара, которые соответствуют только конкретному крану укладочному конкретного производителя при отсутствии обоснования объективной необходимости в приобретении крана только с такими характеристиками, что НМЦК была определена с нарушением Методических рекомендаций по применению методов определения НМЦК, признали недействительными торги в форме электронного аукциона и договор, заключенный по итогам торгов.   </w:t>
      </w:r>
    </w:p>
    <w:p w:rsidR="003C623F" w:rsidRPr="001D7EAE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</w:t>
      </w:r>
      <w:r w:rsidRPr="001D7EAE">
        <w:rPr>
          <w:rFonts w:ascii="PT Astra Serif" w:hAnsi="PT Astra Serif"/>
          <w:sz w:val="26"/>
          <w:szCs w:val="26"/>
        </w:rPr>
        <w:t xml:space="preserve">, не согласившись с решениями судов, обратилось с жалобой в Верховный суд Российской Федерации. 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D7EAE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C623F" w:rsidRDefault="003C623F" w:rsidP="003C623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Арбитражного суда Волго-Вятского округа от 21.01.2025                      по делу № А79-10327/2023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Прокуратура республики (далее – Прокуратура)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Администрация (Заказчик) и Общество заключили муниципальный контракт на выполнение работ по текущему содержанию автомобильных дорог и проездов с элементами обустройства остановок общественного транспорта, цена контракта – 54 млн рублей.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выполнило работы по контракту на сумму 53 млн рублей, и стороны подписали соглашение о расторжении контракта.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Впоследствии Администрация и Общество заключили 3 муниципальных контракта на выполнение работ: по очистке проезжей части автомобильных дорог от снега; по удалению снежных валов с проезжей части и обочин автомобильных дорог; по очистке тротуаров, автопавильонов, уборке мусора с проезжей части автомобильных дорог.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Pr="002B1141">
        <w:rPr>
          <w:rFonts w:ascii="PT Astra Serif" w:hAnsi="PT Astra Serif"/>
          <w:sz w:val="26"/>
          <w:szCs w:val="26"/>
        </w:rPr>
        <w:t>униципальные контракты заключены сторонами без проведения предусмотренных Законом № 44-ФЗ публичных</w:t>
      </w:r>
      <w:r>
        <w:rPr>
          <w:rFonts w:ascii="PT Astra Serif" w:hAnsi="PT Astra Serif"/>
          <w:sz w:val="26"/>
          <w:szCs w:val="26"/>
        </w:rPr>
        <w:t xml:space="preserve"> процедур</w:t>
      </w:r>
      <w:r w:rsidRPr="002B11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 соответствии с пунктом</w:t>
      </w:r>
      <w:r w:rsidRPr="002B1141">
        <w:rPr>
          <w:rFonts w:ascii="PT Astra Serif" w:hAnsi="PT Astra Serif"/>
          <w:sz w:val="26"/>
          <w:szCs w:val="26"/>
        </w:rPr>
        <w:t xml:space="preserve"> 4 части 1</w:t>
      </w:r>
      <w:r>
        <w:rPr>
          <w:rFonts w:ascii="PT Astra Serif" w:hAnsi="PT Astra Serif"/>
          <w:sz w:val="26"/>
          <w:szCs w:val="26"/>
        </w:rPr>
        <w:t xml:space="preserve"> статьи 93 Закона                     </w:t>
      </w:r>
      <w:r w:rsidRPr="002B1141">
        <w:rPr>
          <w:rFonts w:ascii="PT Astra Serif" w:hAnsi="PT Astra Serif"/>
          <w:sz w:val="26"/>
          <w:szCs w:val="26"/>
        </w:rPr>
        <w:t>№ 44-ФЗ.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Работы по указанным контрактам Обществом выполнены, а их стоимость оплачена Администрацией.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Прокуратура, ссылаясь на то, что контракты заключены в обход конкурентных процедур, обратилась в суд с иском.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инстанции, отказывая в удовлетворении требований Прокуратуры, исходил из следующего.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Как следует из пояснений Заказчика, последующие муниципальные контракты заключены с единственным поставщиком ввиду отсутствия времени для проведения конкурентных процедур.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Муниципальные контракты заключены в целях уборки тротуаров и автомобильных дорог в городе от снега и наледи. Выполнение указанных работ требовалось для защиты жизни и здоровья людей, обеспечения безопасности дорожного движения.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пришел к выводу, что осуществление закупки у единственного поставщика носило экстренный характер и не терпело отлагательств.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Прокуратура, не согласившись с решением суда, обратилась в вышестоящий суд с жалобой.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апелляционной и кассационной инстанции, удовлетворяя требования Прокуратуры, исходили из следующего. 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90A5B">
        <w:rPr>
          <w:rFonts w:ascii="PT Astra Serif" w:hAnsi="PT Astra Serif"/>
          <w:sz w:val="26"/>
          <w:szCs w:val="26"/>
        </w:rPr>
        <w:t xml:space="preserve">В соответствии с пунктом 3.5.1 Методических рекомендаций по применению методов определения </w:t>
      </w:r>
      <w:r>
        <w:rPr>
          <w:rFonts w:ascii="PT Astra Serif" w:hAnsi="PT Astra Serif"/>
          <w:sz w:val="26"/>
          <w:szCs w:val="26"/>
        </w:rPr>
        <w:t>НМЦК</w:t>
      </w:r>
      <w:r w:rsidRPr="00A90A5B">
        <w:rPr>
          <w:rFonts w:ascii="PT Astra Serif" w:hAnsi="PT Astra Serif"/>
          <w:sz w:val="26"/>
          <w:szCs w:val="26"/>
        </w:rPr>
        <w:t xml:space="preserve">, цены контракта, заключаемого с единственным поставщиком (подрядчиком, исполнителем), утвержденных приказом Минэкономразвития России </w:t>
      </w:r>
      <w:r>
        <w:rPr>
          <w:rFonts w:ascii="PT Astra Serif" w:hAnsi="PT Astra Serif"/>
          <w:sz w:val="26"/>
          <w:szCs w:val="26"/>
        </w:rPr>
        <w:t xml:space="preserve">             </w:t>
      </w:r>
      <w:r w:rsidRPr="00A90A5B">
        <w:rPr>
          <w:rFonts w:ascii="PT Astra Serif" w:hAnsi="PT Astra Serif"/>
          <w:sz w:val="26"/>
          <w:szCs w:val="26"/>
        </w:rPr>
        <w:t>от 02.10.2013 № 567, идентичными признаются работы, услуги, обладающие одинаковыми характерными для них основными признаками (качественными характеристиками), в том числе реализуемые с использованием одинаковых методик, технологий, подходов, выполняемые (оказываемые) подрядчиками, исполнителями с сопоставимой квалификацией.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</w:t>
      </w:r>
      <w:r w:rsidRPr="001F6976">
        <w:rPr>
          <w:rFonts w:ascii="PT Astra Serif" w:hAnsi="PT Astra Serif"/>
          <w:sz w:val="26"/>
          <w:szCs w:val="26"/>
        </w:rPr>
        <w:t xml:space="preserve">хотя каждый из 3-х рассматриваемых муниципальных контрактов формально и подпадал под действие пункта 4 части 1 статьи 93 Закона </w:t>
      </w:r>
      <w:r>
        <w:rPr>
          <w:rFonts w:ascii="PT Astra Serif" w:hAnsi="PT Astra Serif"/>
          <w:sz w:val="26"/>
          <w:szCs w:val="26"/>
        </w:rPr>
        <w:t>№ 44-ФЗ</w:t>
      </w:r>
      <w:r w:rsidRPr="001F6976">
        <w:rPr>
          <w:rFonts w:ascii="PT Astra Serif" w:hAnsi="PT Astra Serif"/>
          <w:sz w:val="26"/>
          <w:szCs w:val="26"/>
        </w:rPr>
        <w:t>, однако, исходя из их общей цели по текущему содержанию автомобильных дорог и проездов с элементами обустройства и остановок общественного транспорта в городе, в совокупности все контракты представляли собой единую сделку, заключенную в один день, одними и теми же сторонами, искусственно раздробленную и оформленную самостоятельными контрактами на выполнение одного и того же вида работ - работ по очистке тротуаров, автопавильонов, уборке мусора, снежных валов с проезжей час</w:t>
      </w:r>
      <w:r>
        <w:rPr>
          <w:rFonts w:ascii="PT Astra Serif" w:hAnsi="PT Astra Serif"/>
          <w:sz w:val="26"/>
          <w:szCs w:val="26"/>
        </w:rPr>
        <w:t>ти и обочин автомобильных дорог.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2793E">
        <w:rPr>
          <w:rFonts w:ascii="PT Astra Serif" w:hAnsi="PT Astra Serif"/>
          <w:sz w:val="26"/>
          <w:szCs w:val="26"/>
        </w:rPr>
        <w:t xml:space="preserve">Между тем, перечень работ, являющихся предметом оспариваемых муниципальных контрактов, мог быть выполнен в рамках муниципального контракта </w:t>
      </w:r>
      <w:r w:rsidRPr="00E624AD">
        <w:rPr>
          <w:rFonts w:ascii="PT Astra Serif" w:hAnsi="PT Astra Serif"/>
          <w:sz w:val="26"/>
          <w:szCs w:val="26"/>
        </w:rPr>
        <w:t>на выполнение работ по текущему содержанию автомобильных дорог и проездов с элементами обустройства остановок общественного транспорта</w:t>
      </w:r>
      <w:r>
        <w:rPr>
          <w:rFonts w:ascii="PT Astra Serif" w:hAnsi="PT Astra Serif"/>
          <w:sz w:val="26"/>
          <w:szCs w:val="26"/>
        </w:rPr>
        <w:t>.</w:t>
      </w: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C623F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3C623F" w:rsidRPr="00BF4B7B" w:rsidRDefault="003C623F" w:rsidP="003C623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7673D" w:rsidRPr="00C7673D" w:rsidRDefault="00C7673D" w:rsidP="00C7673D">
      <w:pPr>
        <w:tabs>
          <w:tab w:val="left" w:pos="4410"/>
        </w:tabs>
        <w:ind w:firstLine="709"/>
        <w:rPr>
          <w:rFonts w:ascii="PT Astra Serif" w:hAnsi="PT Astra Serif"/>
          <w:i/>
          <w:sz w:val="26"/>
          <w:szCs w:val="26"/>
        </w:rPr>
      </w:pPr>
    </w:p>
    <w:sectPr w:rsidR="00C7673D" w:rsidRPr="00C7673D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CA6" w:rsidRDefault="00A37CA6" w:rsidP="00DF12FF">
      <w:r>
        <w:separator/>
      </w:r>
    </w:p>
  </w:endnote>
  <w:endnote w:type="continuationSeparator" w:id="0">
    <w:p w:rsidR="00A37CA6" w:rsidRDefault="00A37CA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CA6" w:rsidRDefault="00A37CA6" w:rsidP="00DF12FF">
      <w:r>
        <w:separator/>
      </w:r>
    </w:p>
  </w:footnote>
  <w:footnote w:type="continuationSeparator" w:id="0">
    <w:p w:rsidR="00A37CA6" w:rsidRDefault="00A37CA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EBD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B75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663B"/>
    <w:rsid w:val="00A379B7"/>
    <w:rsid w:val="00A37A20"/>
    <w:rsid w:val="00A37A52"/>
    <w:rsid w:val="00A37CA6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11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2EBD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39B"/>
    <w:rsid w:val="00FE0544"/>
    <w:rsid w:val="00FE055C"/>
    <w:rsid w:val="00FE13DC"/>
    <w:rsid w:val="00FE2135"/>
    <w:rsid w:val="00FE24C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D4F58-B8F2-4405-9A17-E199AB693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5371</TotalTime>
  <Pages>5</Pages>
  <Words>2177</Words>
  <Characters>12415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Ольга Владимировна Пшеленская</cp:lastModifiedBy>
  <cp:revision>501</cp:revision>
  <cp:lastPrinted>2024-12-24T03:01:00Z</cp:lastPrinted>
  <dcterms:created xsi:type="dcterms:W3CDTF">2023-10-09T01:54:00Z</dcterms:created>
  <dcterms:modified xsi:type="dcterms:W3CDTF">2025-01-28T07:23:00Z</dcterms:modified>
</cp:coreProperties>
</file>