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09B6" w:rsidRPr="0083566E" w:rsidRDefault="001B09B6" w:rsidP="006C3B37">
      <w:pPr>
        <w:pBdr>
          <w:top w:val="none" w:sz="4" w:space="0" w:color="000000"/>
        </w:pBdr>
        <w:spacing w:after="120"/>
        <w:ind w:firstLine="709"/>
        <w:jc w:val="both"/>
        <w:rPr>
          <w:rFonts w:ascii="PT Astra Serif" w:hAnsi="PT Astra Serif"/>
          <w:b/>
          <w:color w:val="000000"/>
        </w:rPr>
      </w:pPr>
      <w:bookmarkStart w:id="0" w:name="_GoBack"/>
      <w:bookmarkEnd w:id="0"/>
      <w:r w:rsidRPr="00202938">
        <w:rPr>
          <w:rFonts w:ascii="PT Astra Serif" w:hAnsi="PT Astra Serif"/>
          <w:b/>
          <w:color w:val="000000" w:themeColor="text1"/>
        </w:rPr>
        <w:t xml:space="preserve">МОНИТОРИНГ на </w:t>
      </w:r>
      <w:r w:rsidR="009C085C">
        <w:rPr>
          <w:rFonts w:ascii="PT Astra Serif" w:hAnsi="PT Astra Serif"/>
          <w:b/>
          <w:color w:val="000000" w:themeColor="text1"/>
        </w:rPr>
        <w:t>24</w:t>
      </w:r>
      <w:r w:rsidR="00502633">
        <w:rPr>
          <w:rFonts w:ascii="PT Astra Serif" w:hAnsi="PT Astra Serif"/>
          <w:b/>
          <w:color w:val="000000" w:themeColor="text1"/>
        </w:rPr>
        <w:t>.</w:t>
      </w:r>
      <w:r w:rsidR="00131DAF">
        <w:rPr>
          <w:rFonts w:ascii="PT Astra Serif" w:hAnsi="PT Astra Serif"/>
          <w:b/>
          <w:color w:val="000000" w:themeColor="text1"/>
        </w:rPr>
        <w:t>0</w:t>
      </w:r>
      <w:r w:rsidR="00502633">
        <w:rPr>
          <w:rFonts w:ascii="PT Astra Serif" w:hAnsi="PT Astra Serif"/>
          <w:b/>
          <w:color w:val="000000" w:themeColor="text1"/>
        </w:rPr>
        <w:t>3</w:t>
      </w:r>
      <w:r w:rsidR="00131DAF">
        <w:rPr>
          <w:rFonts w:ascii="PT Astra Serif" w:hAnsi="PT Astra Serif"/>
          <w:b/>
          <w:color w:val="000000" w:themeColor="text1"/>
        </w:rPr>
        <w:t>.</w:t>
      </w:r>
      <w:r w:rsidR="00D34BC2">
        <w:rPr>
          <w:rFonts w:ascii="PT Astra Serif" w:hAnsi="PT Astra Serif"/>
          <w:b/>
          <w:color w:val="000000" w:themeColor="text1"/>
        </w:rPr>
        <w:t>202</w:t>
      </w:r>
      <w:r w:rsidR="004B1143">
        <w:rPr>
          <w:rFonts w:ascii="PT Astra Serif" w:hAnsi="PT Astra Serif"/>
          <w:b/>
          <w:color w:val="000000" w:themeColor="text1"/>
        </w:rPr>
        <w:t>5</w:t>
      </w:r>
    </w:p>
    <w:tbl>
      <w:tblPr>
        <w:tblStyle w:val="a6"/>
        <w:tblW w:w="10065" w:type="dxa"/>
        <w:tblInd w:w="-5" w:type="dxa"/>
        <w:tblLayout w:type="fixed"/>
        <w:tblLook w:val="04A0" w:firstRow="1" w:lastRow="0" w:firstColumn="1" w:lastColumn="0" w:noHBand="0" w:noVBand="1"/>
      </w:tblPr>
      <w:tblGrid>
        <w:gridCol w:w="4395"/>
        <w:gridCol w:w="5670"/>
      </w:tblGrid>
      <w:tr w:rsidR="00F22A47" w:rsidRPr="00E82117" w:rsidTr="005B5192">
        <w:trPr>
          <w:trHeight w:val="164"/>
        </w:trPr>
        <w:tc>
          <w:tcPr>
            <w:tcW w:w="10065" w:type="dxa"/>
            <w:gridSpan w:val="2"/>
          </w:tcPr>
          <w:p w:rsidR="00502633" w:rsidRPr="00502633" w:rsidRDefault="006722A4" w:rsidP="009C085C">
            <w:pPr>
              <w:pStyle w:val="a4"/>
              <w:numPr>
                <w:ilvl w:val="0"/>
                <w:numId w:val="22"/>
              </w:numPr>
              <w:jc w:val="both"/>
              <w:rPr>
                <w:rFonts w:ascii="PT Astra Serif" w:hAnsi="PT Astra Serif"/>
                <w:b/>
                <w:sz w:val="26"/>
                <w:szCs w:val="26"/>
              </w:rPr>
            </w:pPr>
            <w:r>
              <w:rPr>
                <w:rFonts w:ascii="PT Astra Serif" w:hAnsi="PT Astra Serif"/>
                <w:b/>
                <w:sz w:val="26"/>
                <w:szCs w:val="26"/>
              </w:rPr>
              <w:t xml:space="preserve">     </w:t>
            </w:r>
            <w:r w:rsidR="003D1773" w:rsidRPr="003D1773">
              <w:rPr>
                <w:rFonts w:ascii="PT Astra Serif" w:hAnsi="PT Astra Serif"/>
                <w:b/>
                <w:sz w:val="26"/>
                <w:szCs w:val="26"/>
              </w:rPr>
              <w:t xml:space="preserve">Письмо </w:t>
            </w:r>
            <w:r w:rsidR="009C085C">
              <w:rPr>
                <w:rFonts w:ascii="PT Astra Serif" w:hAnsi="PT Astra Serif"/>
                <w:b/>
                <w:sz w:val="26"/>
                <w:szCs w:val="26"/>
              </w:rPr>
              <w:t>Минфина России от 11.03.2025 № 24-06-06/23709</w:t>
            </w:r>
          </w:p>
        </w:tc>
      </w:tr>
      <w:tr w:rsidR="00F22A47" w:rsidRPr="00582FD6" w:rsidTr="005B5192">
        <w:trPr>
          <w:trHeight w:val="70"/>
        </w:trPr>
        <w:tc>
          <w:tcPr>
            <w:tcW w:w="10065" w:type="dxa"/>
            <w:gridSpan w:val="2"/>
          </w:tcPr>
          <w:p w:rsidR="00F22A47" w:rsidRPr="00582FD6" w:rsidRDefault="009C085C" w:rsidP="005A0EB1">
            <w:pPr>
              <w:tabs>
                <w:tab w:val="left" w:pos="1095"/>
              </w:tabs>
              <w:ind w:firstLine="708"/>
              <w:jc w:val="both"/>
              <w:rPr>
                <w:rFonts w:ascii="PT Astra Serif" w:hAnsi="PT Astra Serif"/>
                <w:sz w:val="26"/>
                <w:szCs w:val="26"/>
              </w:rPr>
            </w:pPr>
            <w:r>
              <w:rPr>
                <w:rFonts w:ascii="PT Astra Serif" w:hAnsi="PT Astra Serif"/>
                <w:sz w:val="26"/>
                <w:szCs w:val="26"/>
              </w:rPr>
              <w:t>Минфин России разъяснил особенности применения положений о нормировании при закупке автотранспортных средств</w:t>
            </w:r>
          </w:p>
        </w:tc>
      </w:tr>
      <w:tr w:rsidR="000F0B6F" w:rsidRPr="00E82117" w:rsidTr="005B5192">
        <w:trPr>
          <w:trHeight w:val="70"/>
        </w:trPr>
        <w:tc>
          <w:tcPr>
            <w:tcW w:w="10065" w:type="dxa"/>
            <w:gridSpan w:val="2"/>
          </w:tcPr>
          <w:p w:rsidR="000F0B6F" w:rsidRPr="00E82117" w:rsidRDefault="00D73FE7" w:rsidP="009C085C">
            <w:pPr>
              <w:pStyle w:val="a4"/>
              <w:numPr>
                <w:ilvl w:val="0"/>
                <w:numId w:val="22"/>
              </w:numPr>
              <w:jc w:val="both"/>
              <w:rPr>
                <w:rFonts w:ascii="PT Astra Serif" w:hAnsi="PT Astra Serif"/>
                <w:b/>
                <w:sz w:val="26"/>
                <w:szCs w:val="26"/>
              </w:rPr>
            </w:pPr>
            <w:r>
              <w:rPr>
                <w:rFonts w:ascii="PT Astra Serif" w:hAnsi="PT Astra Serif"/>
                <w:b/>
                <w:sz w:val="26"/>
                <w:szCs w:val="26"/>
              </w:rPr>
              <w:t xml:space="preserve">      </w:t>
            </w:r>
            <w:r w:rsidR="005A0EB1">
              <w:rPr>
                <w:rFonts w:ascii="PT Astra Serif" w:hAnsi="PT Astra Serif"/>
                <w:b/>
                <w:sz w:val="26"/>
                <w:szCs w:val="26"/>
              </w:rPr>
              <w:t xml:space="preserve">Письмо </w:t>
            </w:r>
            <w:r w:rsidR="009C085C">
              <w:rPr>
                <w:rFonts w:ascii="PT Astra Serif" w:hAnsi="PT Astra Serif"/>
                <w:b/>
                <w:sz w:val="26"/>
                <w:szCs w:val="26"/>
              </w:rPr>
              <w:t>Минздрава России от 14.03.2025 № 24-3/2469</w:t>
            </w:r>
          </w:p>
        </w:tc>
      </w:tr>
      <w:tr w:rsidR="000F0B6F" w:rsidRPr="00582FD6" w:rsidTr="005B5192">
        <w:trPr>
          <w:trHeight w:val="70"/>
        </w:trPr>
        <w:tc>
          <w:tcPr>
            <w:tcW w:w="10065" w:type="dxa"/>
            <w:gridSpan w:val="2"/>
          </w:tcPr>
          <w:p w:rsidR="000F0B6F" w:rsidRPr="009B0509" w:rsidRDefault="009C085C" w:rsidP="003D1773">
            <w:pPr>
              <w:tabs>
                <w:tab w:val="left" w:pos="1095"/>
              </w:tabs>
              <w:ind w:firstLine="708"/>
              <w:jc w:val="both"/>
              <w:rPr>
                <w:rFonts w:ascii="PT Astra Serif" w:hAnsi="PT Astra Serif"/>
                <w:sz w:val="26"/>
                <w:szCs w:val="26"/>
              </w:rPr>
            </w:pPr>
            <w:r>
              <w:rPr>
                <w:rFonts w:ascii="PT Astra Serif" w:hAnsi="PT Astra Serif"/>
                <w:sz w:val="26"/>
                <w:szCs w:val="26"/>
              </w:rPr>
              <w:t>Минздрав разъяснил особенности применения Постановления № 1875 при осуществлении закупок лекарственных средств или медицинских изделий</w:t>
            </w:r>
          </w:p>
        </w:tc>
      </w:tr>
      <w:tr w:rsidR="00F51E71" w:rsidRPr="00E82117" w:rsidTr="005B5192">
        <w:trPr>
          <w:trHeight w:val="70"/>
        </w:trPr>
        <w:tc>
          <w:tcPr>
            <w:tcW w:w="10065" w:type="dxa"/>
            <w:gridSpan w:val="2"/>
          </w:tcPr>
          <w:p w:rsidR="00F51E71" w:rsidRPr="00E82117" w:rsidRDefault="00167B92" w:rsidP="005A0EB1">
            <w:pPr>
              <w:pStyle w:val="a4"/>
              <w:numPr>
                <w:ilvl w:val="0"/>
                <w:numId w:val="22"/>
              </w:numPr>
              <w:jc w:val="both"/>
              <w:rPr>
                <w:rFonts w:ascii="PT Astra Serif" w:hAnsi="PT Astra Serif"/>
                <w:b/>
                <w:sz w:val="26"/>
                <w:szCs w:val="26"/>
              </w:rPr>
            </w:pPr>
            <w:r>
              <w:rPr>
                <w:rFonts w:ascii="PT Astra Serif" w:hAnsi="PT Astra Serif"/>
                <w:b/>
                <w:sz w:val="26"/>
                <w:szCs w:val="26"/>
              </w:rPr>
              <w:t xml:space="preserve">      Письмо ФАС России от 14.03.2025 № ВК/23244/25</w:t>
            </w:r>
          </w:p>
        </w:tc>
      </w:tr>
      <w:tr w:rsidR="00F51E71" w:rsidRPr="009B0509" w:rsidTr="005B5192">
        <w:trPr>
          <w:trHeight w:val="70"/>
        </w:trPr>
        <w:tc>
          <w:tcPr>
            <w:tcW w:w="10065" w:type="dxa"/>
            <w:gridSpan w:val="2"/>
          </w:tcPr>
          <w:p w:rsidR="00F51E71" w:rsidRPr="009B0509" w:rsidRDefault="00167B92" w:rsidP="009D5512">
            <w:pPr>
              <w:tabs>
                <w:tab w:val="left" w:pos="1095"/>
              </w:tabs>
              <w:ind w:firstLine="708"/>
              <w:jc w:val="both"/>
              <w:rPr>
                <w:rFonts w:ascii="PT Astra Serif" w:hAnsi="PT Astra Serif"/>
                <w:sz w:val="26"/>
                <w:szCs w:val="26"/>
              </w:rPr>
            </w:pPr>
            <w:r>
              <w:rPr>
                <w:rFonts w:ascii="PT Astra Serif" w:hAnsi="PT Astra Serif"/>
                <w:sz w:val="26"/>
                <w:szCs w:val="26"/>
              </w:rPr>
              <w:t xml:space="preserve">ФАС России разъяснила правила расчета НМЦК при закупке топлива </w:t>
            </w:r>
          </w:p>
        </w:tc>
      </w:tr>
      <w:tr w:rsidR="00167B92" w:rsidRPr="00E82117" w:rsidTr="005B5192">
        <w:trPr>
          <w:trHeight w:val="70"/>
        </w:trPr>
        <w:tc>
          <w:tcPr>
            <w:tcW w:w="10065" w:type="dxa"/>
            <w:gridSpan w:val="2"/>
          </w:tcPr>
          <w:p w:rsidR="00167B92" w:rsidRPr="00E82117" w:rsidRDefault="00167B92" w:rsidP="00167B92">
            <w:pPr>
              <w:pStyle w:val="a4"/>
              <w:numPr>
                <w:ilvl w:val="0"/>
                <w:numId w:val="22"/>
              </w:numPr>
              <w:jc w:val="both"/>
              <w:rPr>
                <w:rFonts w:ascii="PT Astra Serif" w:hAnsi="PT Astra Serif"/>
                <w:b/>
                <w:sz w:val="26"/>
                <w:szCs w:val="26"/>
              </w:rPr>
            </w:pPr>
            <w:r>
              <w:rPr>
                <w:rFonts w:ascii="PT Astra Serif" w:hAnsi="PT Astra Serif"/>
                <w:b/>
                <w:sz w:val="26"/>
                <w:szCs w:val="26"/>
              </w:rPr>
              <w:t xml:space="preserve">      Письмо Минфина России от 17.03.2025 № 24-06-06/25869</w:t>
            </w:r>
          </w:p>
        </w:tc>
      </w:tr>
      <w:tr w:rsidR="00167B92" w:rsidRPr="009B0509" w:rsidTr="005B5192">
        <w:trPr>
          <w:trHeight w:val="70"/>
        </w:trPr>
        <w:tc>
          <w:tcPr>
            <w:tcW w:w="10065" w:type="dxa"/>
            <w:gridSpan w:val="2"/>
          </w:tcPr>
          <w:p w:rsidR="00167B92" w:rsidRPr="009B0509" w:rsidRDefault="00167B92" w:rsidP="00EC4303">
            <w:pPr>
              <w:tabs>
                <w:tab w:val="left" w:pos="1095"/>
              </w:tabs>
              <w:ind w:firstLine="708"/>
              <w:jc w:val="both"/>
              <w:rPr>
                <w:rFonts w:ascii="PT Astra Serif" w:hAnsi="PT Astra Serif"/>
                <w:sz w:val="26"/>
                <w:szCs w:val="26"/>
              </w:rPr>
            </w:pPr>
            <w:r>
              <w:rPr>
                <w:rFonts w:ascii="PT Astra Serif" w:hAnsi="PT Astra Serif"/>
                <w:sz w:val="26"/>
                <w:szCs w:val="26"/>
              </w:rPr>
              <w:t>Минфин России разъяснил отдельные вопросы применения национального режима</w:t>
            </w:r>
          </w:p>
        </w:tc>
      </w:tr>
      <w:tr w:rsidR="001C1D6E" w:rsidRPr="00202938" w:rsidTr="005B5192">
        <w:trPr>
          <w:trHeight w:val="47"/>
        </w:trPr>
        <w:tc>
          <w:tcPr>
            <w:tcW w:w="10065" w:type="dxa"/>
            <w:gridSpan w:val="2"/>
          </w:tcPr>
          <w:p w:rsidR="001C1D6E" w:rsidRPr="00D25C5E" w:rsidRDefault="001C1D6E" w:rsidP="00F30068">
            <w:pPr>
              <w:pStyle w:val="a4"/>
              <w:numPr>
                <w:ilvl w:val="0"/>
                <w:numId w:val="22"/>
              </w:numPr>
              <w:ind w:left="34" w:firstLine="0"/>
              <w:jc w:val="both"/>
              <w:rPr>
                <w:rStyle w:val="a9"/>
                <w:rFonts w:ascii="PT Astra Serif" w:hAnsi="PT Astra Serif"/>
                <w:b w:val="0"/>
                <w:sz w:val="26"/>
                <w:szCs w:val="26"/>
              </w:rPr>
            </w:pPr>
            <w:r>
              <w:rPr>
                <w:rFonts w:ascii="PT Astra Serif" w:hAnsi="PT Astra Serif"/>
                <w:b/>
                <w:sz w:val="26"/>
                <w:szCs w:val="26"/>
              </w:rPr>
              <w:t>Судебная практика</w:t>
            </w:r>
          </w:p>
        </w:tc>
      </w:tr>
      <w:tr w:rsidR="005B5192" w:rsidRPr="002C4F02" w:rsidTr="005B5192">
        <w:trPr>
          <w:trHeight w:val="1529"/>
        </w:trPr>
        <w:tc>
          <w:tcPr>
            <w:tcW w:w="4395" w:type="dxa"/>
          </w:tcPr>
          <w:p w:rsidR="005B5192" w:rsidRDefault="005B5192" w:rsidP="0021198A">
            <w:pPr>
              <w:jc w:val="both"/>
              <w:rPr>
                <w:rFonts w:ascii="PT Astra Serif" w:hAnsi="PT Astra Serif"/>
                <w:i/>
                <w:sz w:val="26"/>
                <w:szCs w:val="26"/>
              </w:rPr>
            </w:pPr>
            <w:r>
              <w:rPr>
                <w:rFonts w:ascii="PT Astra Serif" w:hAnsi="PT Astra Serif"/>
                <w:i/>
                <w:sz w:val="26"/>
                <w:szCs w:val="26"/>
              </w:rPr>
              <w:t xml:space="preserve">Постановление Арбитражного суда Московского округа от 14.03.2025 </w:t>
            </w:r>
          </w:p>
          <w:p w:rsidR="005B5192" w:rsidRPr="00F30D1F" w:rsidRDefault="005B5192" w:rsidP="0021198A">
            <w:pPr>
              <w:jc w:val="both"/>
              <w:rPr>
                <w:rFonts w:ascii="PT Astra Serif" w:hAnsi="PT Astra Serif"/>
                <w:i/>
                <w:sz w:val="26"/>
                <w:szCs w:val="26"/>
              </w:rPr>
            </w:pPr>
            <w:r>
              <w:rPr>
                <w:rFonts w:ascii="PT Astra Serif" w:hAnsi="PT Astra Serif"/>
                <w:i/>
                <w:sz w:val="26"/>
                <w:szCs w:val="26"/>
              </w:rPr>
              <w:t>№ Ф05-2803/25 по делу № А40-102344/2024</w:t>
            </w:r>
          </w:p>
        </w:tc>
        <w:tc>
          <w:tcPr>
            <w:tcW w:w="5670" w:type="dxa"/>
          </w:tcPr>
          <w:p w:rsidR="005B5192" w:rsidRPr="002C4F02" w:rsidRDefault="005B5192" w:rsidP="0021198A">
            <w:pPr>
              <w:autoSpaceDE w:val="0"/>
              <w:autoSpaceDN w:val="0"/>
              <w:adjustRightInd w:val="0"/>
              <w:jc w:val="both"/>
              <w:rPr>
                <w:rFonts w:ascii="PT Astra Serif" w:hAnsi="PT Astra Serif"/>
                <w:sz w:val="26"/>
                <w:szCs w:val="26"/>
                <w:highlight w:val="yellow"/>
              </w:rPr>
            </w:pPr>
            <w:r>
              <w:rPr>
                <w:rFonts w:ascii="PT Astra Serif" w:hAnsi="PT Astra Serif"/>
                <w:sz w:val="26"/>
                <w:szCs w:val="26"/>
              </w:rPr>
              <w:t xml:space="preserve">Суд признал верным решение УФАС </w:t>
            </w:r>
            <w:r w:rsidRPr="00A42FF6">
              <w:rPr>
                <w:rFonts w:ascii="PT Astra Serif" w:hAnsi="PT Astra Serif"/>
                <w:sz w:val="26"/>
                <w:szCs w:val="26"/>
              </w:rPr>
              <w:t xml:space="preserve">о </w:t>
            </w:r>
            <w:r>
              <w:rPr>
                <w:rFonts w:ascii="PT Astra Serif" w:hAnsi="PT Astra Serif"/>
                <w:sz w:val="26"/>
                <w:szCs w:val="26"/>
              </w:rPr>
              <w:t xml:space="preserve">наличии </w:t>
            </w:r>
            <w:r w:rsidRPr="00A42FF6">
              <w:rPr>
                <w:rFonts w:ascii="PT Astra Serif" w:hAnsi="PT Astra Serif"/>
                <w:sz w:val="26"/>
                <w:szCs w:val="26"/>
              </w:rPr>
              <w:t>в действиях банка нарушений части 8.2 статьи 45 Закона № 44-ФЗ</w:t>
            </w:r>
            <w:r>
              <w:rPr>
                <w:rFonts w:ascii="PT Astra Serif" w:hAnsi="PT Astra Serif"/>
                <w:sz w:val="26"/>
                <w:szCs w:val="26"/>
              </w:rPr>
              <w:t xml:space="preserve"> и отказал в удовлетворении требований победителя </w:t>
            </w:r>
          </w:p>
        </w:tc>
      </w:tr>
      <w:tr w:rsidR="005B5192" w:rsidTr="005B5192">
        <w:trPr>
          <w:trHeight w:val="70"/>
        </w:trPr>
        <w:tc>
          <w:tcPr>
            <w:tcW w:w="4395" w:type="dxa"/>
          </w:tcPr>
          <w:p w:rsidR="005B5192" w:rsidRDefault="005B5192" w:rsidP="0021198A">
            <w:pPr>
              <w:jc w:val="both"/>
              <w:rPr>
                <w:rFonts w:ascii="PT Astra Serif" w:hAnsi="PT Astra Serif"/>
                <w:i/>
                <w:sz w:val="26"/>
                <w:szCs w:val="26"/>
              </w:rPr>
            </w:pPr>
            <w:r>
              <w:rPr>
                <w:rFonts w:ascii="PT Astra Serif" w:hAnsi="PT Astra Serif"/>
                <w:i/>
                <w:sz w:val="26"/>
                <w:szCs w:val="26"/>
              </w:rPr>
              <w:t xml:space="preserve">Постановление Арбитражного суда Поволжского округа от 14.03.2025 </w:t>
            </w:r>
          </w:p>
          <w:p w:rsidR="005B5192" w:rsidRDefault="005B5192" w:rsidP="0021198A">
            <w:pPr>
              <w:jc w:val="both"/>
              <w:rPr>
                <w:rFonts w:ascii="PT Astra Serif" w:hAnsi="PT Astra Serif"/>
                <w:i/>
                <w:sz w:val="26"/>
                <w:szCs w:val="26"/>
              </w:rPr>
            </w:pPr>
            <w:r>
              <w:rPr>
                <w:rFonts w:ascii="PT Astra Serif" w:hAnsi="PT Astra Serif"/>
                <w:i/>
                <w:sz w:val="26"/>
                <w:szCs w:val="26"/>
              </w:rPr>
              <w:t>№ Ф06-664/25 по делу № А12-9206/2024</w:t>
            </w:r>
          </w:p>
        </w:tc>
        <w:tc>
          <w:tcPr>
            <w:tcW w:w="5670" w:type="dxa"/>
          </w:tcPr>
          <w:p w:rsidR="005B5192" w:rsidRDefault="005B5192" w:rsidP="0021198A">
            <w:pPr>
              <w:autoSpaceDE w:val="0"/>
              <w:autoSpaceDN w:val="0"/>
              <w:adjustRightInd w:val="0"/>
              <w:jc w:val="both"/>
              <w:rPr>
                <w:rFonts w:ascii="PT Astra Serif" w:hAnsi="PT Astra Serif"/>
                <w:sz w:val="26"/>
                <w:szCs w:val="26"/>
              </w:rPr>
            </w:pPr>
            <w:r>
              <w:rPr>
                <w:rFonts w:ascii="PT Astra Serif" w:hAnsi="PT Astra Serif"/>
                <w:sz w:val="26"/>
                <w:szCs w:val="26"/>
              </w:rPr>
              <w:t>Искусственное «дробление» единой закупки на множество закупок в целях исключения публичных процедур является нарушением Закона № 135-ФЗ и влечет за собой последствия недействительности сделки</w:t>
            </w:r>
          </w:p>
        </w:tc>
      </w:tr>
      <w:tr w:rsidR="005B5192" w:rsidTr="005B5192">
        <w:trPr>
          <w:trHeight w:val="70"/>
        </w:trPr>
        <w:tc>
          <w:tcPr>
            <w:tcW w:w="4395" w:type="dxa"/>
          </w:tcPr>
          <w:p w:rsidR="005B5192" w:rsidRDefault="005B5192" w:rsidP="005B5192">
            <w:pPr>
              <w:jc w:val="both"/>
              <w:rPr>
                <w:rFonts w:ascii="PT Astra Serif" w:hAnsi="PT Astra Serif"/>
                <w:i/>
                <w:sz w:val="26"/>
                <w:szCs w:val="26"/>
              </w:rPr>
            </w:pPr>
            <w:r w:rsidRPr="00136FAD">
              <w:rPr>
                <w:rFonts w:ascii="PT Astra Serif" w:hAnsi="PT Astra Serif"/>
                <w:i/>
                <w:sz w:val="26"/>
                <w:szCs w:val="26"/>
              </w:rPr>
              <w:t>Постановление Тринадцатого арбитражного апелляционного суда от 16.03.2</w:t>
            </w:r>
            <w:r>
              <w:rPr>
                <w:rFonts w:ascii="PT Astra Serif" w:hAnsi="PT Astra Serif"/>
                <w:i/>
                <w:sz w:val="26"/>
                <w:szCs w:val="26"/>
              </w:rPr>
              <w:t>025 по дел</w:t>
            </w:r>
            <w:r>
              <w:rPr>
                <w:rFonts w:ascii="PT Astra Serif" w:hAnsi="PT Astra Serif"/>
                <w:i/>
                <w:sz w:val="26"/>
                <w:szCs w:val="26"/>
                <w:lang w:val="en-US"/>
              </w:rPr>
              <w:t>e</w:t>
            </w:r>
            <w:r w:rsidRPr="00136FAD">
              <w:rPr>
                <w:rFonts w:ascii="PT Astra Serif" w:hAnsi="PT Astra Serif"/>
                <w:i/>
                <w:sz w:val="26"/>
                <w:szCs w:val="26"/>
              </w:rPr>
              <w:t xml:space="preserve"> № А56-42734/2024</w:t>
            </w:r>
          </w:p>
        </w:tc>
        <w:tc>
          <w:tcPr>
            <w:tcW w:w="5670" w:type="dxa"/>
          </w:tcPr>
          <w:p w:rsidR="005B5192" w:rsidRDefault="005B5192" w:rsidP="0021198A">
            <w:pPr>
              <w:autoSpaceDE w:val="0"/>
              <w:autoSpaceDN w:val="0"/>
              <w:adjustRightInd w:val="0"/>
              <w:jc w:val="both"/>
              <w:rPr>
                <w:rFonts w:ascii="PT Astra Serif" w:hAnsi="PT Astra Serif"/>
                <w:sz w:val="26"/>
                <w:szCs w:val="26"/>
              </w:rPr>
            </w:pPr>
            <w:r>
              <w:rPr>
                <w:rFonts w:ascii="PT Astra Serif" w:hAnsi="PT Astra Serif"/>
                <w:sz w:val="26"/>
                <w:szCs w:val="26"/>
              </w:rPr>
              <w:t>Суд признал</w:t>
            </w:r>
            <w:r w:rsidRPr="00580983">
              <w:rPr>
                <w:rFonts w:ascii="PT Astra Serif" w:hAnsi="PT Astra Serif"/>
                <w:sz w:val="26"/>
                <w:szCs w:val="26"/>
              </w:rPr>
              <w:t xml:space="preserve"> неправомерным отклонение заявки участника, представившего</w:t>
            </w:r>
            <w:r>
              <w:rPr>
                <w:rFonts w:ascii="PT Astra Serif" w:hAnsi="PT Astra Serif"/>
                <w:sz w:val="26"/>
                <w:szCs w:val="26"/>
              </w:rPr>
              <w:t xml:space="preserve"> в подтверждение опыта в соответствии с постановлением Правительства № 2571 контракт на комплексное обслуживание, поскольку входящие в состав контракта услуги являются сопоставимыми предметом закупки </w:t>
            </w:r>
          </w:p>
        </w:tc>
      </w:tr>
      <w:tr w:rsidR="005637BC" w:rsidRPr="003056CE" w:rsidTr="005B5192">
        <w:trPr>
          <w:trHeight w:val="1260"/>
        </w:trPr>
        <w:tc>
          <w:tcPr>
            <w:tcW w:w="4395" w:type="dxa"/>
            <w:vAlign w:val="center"/>
          </w:tcPr>
          <w:p w:rsidR="005637BC" w:rsidRPr="00136FAD" w:rsidRDefault="005637BC" w:rsidP="005637BC">
            <w:pPr>
              <w:jc w:val="both"/>
              <w:rPr>
                <w:rFonts w:ascii="PT Astra Serif" w:hAnsi="PT Astra Serif"/>
                <w:i/>
                <w:sz w:val="26"/>
                <w:szCs w:val="26"/>
              </w:rPr>
            </w:pPr>
            <w:r w:rsidRPr="007A692C">
              <w:rPr>
                <w:rFonts w:ascii="PT Astra Serif" w:hAnsi="PT Astra Serif"/>
                <w:i/>
                <w:sz w:val="26"/>
                <w:szCs w:val="26"/>
              </w:rPr>
              <w:t xml:space="preserve">Решение Ханты-Мансийского УФАС России от 03.03.2025 по делу           </w:t>
            </w:r>
            <w:r w:rsidR="005B5192">
              <w:rPr>
                <w:rFonts w:ascii="PT Astra Serif" w:hAnsi="PT Astra Serif"/>
                <w:i/>
                <w:sz w:val="26"/>
                <w:szCs w:val="26"/>
              </w:rPr>
              <w:br/>
            </w:r>
            <w:r w:rsidRPr="007A692C">
              <w:rPr>
                <w:rFonts w:ascii="PT Astra Serif" w:hAnsi="PT Astra Serif"/>
                <w:i/>
                <w:sz w:val="26"/>
                <w:szCs w:val="26"/>
              </w:rPr>
              <w:t>№ 086/06/99-327/2025</w:t>
            </w:r>
          </w:p>
        </w:tc>
        <w:tc>
          <w:tcPr>
            <w:tcW w:w="5670" w:type="dxa"/>
          </w:tcPr>
          <w:p w:rsidR="005637BC" w:rsidRDefault="005637BC" w:rsidP="005637BC">
            <w:pPr>
              <w:autoSpaceDE w:val="0"/>
              <w:autoSpaceDN w:val="0"/>
              <w:adjustRightInd w:val="0"/>
              <w:jc w:val="both"/>
              <w:rPr>
                <w:rFonts w:ascii="PT Astra Serif" w:hAnsi="PT Astra Serif"/>
                <w:sz w:val="26"/>
                <w:szCs w:val="26"/>
              </w:rPr>
            </w:pPr>
            <w:r w:rsidRPr="007A692C">
              <w:rPr>
                <w:rFonts w:ascii="PT Astra Serif" w:hAnsi="PT Astra Serif"/>
                <w:sz w:val="26"/>
                <w:szCs w:val="26"/>
              </w:rPr>
              <w:t xml:space="preserve">Установление </w:t>
            </w:r>
            <w:r>
              <w:rPr>
                <w:rFonts w:ascii="PT Astra Serif" w:hAnsi="PT Astra Serif"/>
                <w:sz w:val="26"/>
                <w:szCs w:val="26"/>
              </w:rPr>
              <w:t xml:space="preserve">в целях оценки опыта </w:t>
            </w:r>
            <w:r w:rsidRPr="007A692C">
              <w:rPr>
                <w:rFonts w:ascii="PT Astra Serif" w:hAnsi="PT Astra Serif"/>
                <w:sz w:val="26"/>
                <w:szCs w:val="26"/>
              </w:rPr>
              <w:t>треб</w:t>
            </w:r>
            <w:r>
              <w:rPr>
                <w:rFonts w:ascii="PT Astra Serif" w:hAnsi="PT Astra Serif"/>
                <w:sz w:val="26"/>
                <w:szCs w:val="26"/>
              </w:rPr>
              <w:t xml:space="preserve">ования о представлении платежных документов по контракту </w:t>
            </w:r>
            <w:r w:rsidRPr="007A692C">
              <w:rPr>
                <w:rFonts w:ascii="PT Astra Serif" w:hAnsi="PT Astra Serif"/>
                <w:sz w:val="26"/>
                <w:szCs w:val="26"/>
              </w:rPr>
              <w:t>является излишним</w:t>
            </w:r>
          </w:p>
        </w:tc>
      </w:tr>
    </w:tbl>
    <w:p w:rsidR="00D73B28" w:rsidRPr="00D73B28" w:rsidRDefault="00D73B28" w:rsidP="00D73B28">
      <w:pPr>
        <w:jc w:val="both"/>
        <w:rPr>
          <w:rFonts w:ascii="PT Astra Serif" w:hAnsi="PT Astra Serif"/>
          <w:i/>
          <w:sz w:val="26"/>
          <w:szCs w:val="26"/>
        </w:rPr>
      </w:pPr>
    </w:p>
    <w:p w:rsidR="00516478" w:rsidRDefault="009C085C" w:rsidP="00D00EC2">
      <w:pPr>
        <w:tabs>
          <w:tab w:val="left" w:pos="975"/>
        </w:tabs>
        <w:ind w:firstLine="709"/>
        <w:jc w:val="both"/>
        <w:rPr>
          <w:rFonts w:ascii="PT Astra Serif" w:hAnsi="PT Astra Serif"/>
          <w:i/>
          <w:sz w:val="26"/>
          <w:szCs w:val="26"/>
        </w:rPr>
      </w:pPr>
      <w:r w:rsidRPr="009C085C">
        <w:rPr>
          <w:rFonts w:ascii="PT Astra Serif" w:hAnsi="PT Astra Serif"/>
          <w:i/>
          <w:sz w:val="26"/>
          <w:szCs w:val="26"/>
        </w:rPr>
        <w:t>Письмо Минфина России от 11.03.2025 № 24-06-06/23709 «О рассмотрении обращения»</w:t>
      </w:r>
    </w:p>
    <w:p w:rsidR="009C085C" w:rsidRDefault="009C085C" w:rsidP="00D00EC2">
      <w:pPr>
        <w:tabs>
          <w:tab w:val="left" w:pos="975"/>
        </w:tabs>
        <w:ind w:firstLine="709"/>
        <w:jc w:val="both"/>
        <w:rPr>
          <w:rFonts w:ascii="PT Astra Serif" w:hAnsi="PT Astra Serif"/>
          <w:sz w:val="26"/>
          <w:szCs w:val="26"/>
        </w:rPr>
      </w:pPr>
      <w:r w:rsidRPr="009C085C">
        <w:rPr>
          <w:rFonts w:ascii="PT Astra Serif" w:hAnsi="PT Astra Serif"/>
          <w:sz w:val="26"/>
          <w:szCs w:val="26"/>
        </w:rPr>
        <w:t>Минфин России разъяснил особенности применения положений о нормировании при закупке автотранспортных средств</w:t>
      </w:r>
      <w:r>
        <w:rPr>
          <w:rFonts w:ascii="PT Astra Serif" w:hAnsi="PT Astra Serif"/>
          <w:sz w:val="26"/>
          <w:szCs w:val="26"/>
        </w:rPr>
        <w:t>.</w:t>
      </w:r>
    </w:p>
    <w:p w:rsidR="009C085C" w:rsidRDefault="009C085C" w:rsidP="00D00EC2">
      <w:pPr>
        <w:tabs>
          <w:tab w:val="left" w:pos="975"/>
        </w:tabs>
        <w:ind w:firstLine="709"/>
        <w:jc w:val="both"/>
        <w:rPr>
          <w:rFonts w:ascii="PT Astra Serif" w:hAnsi="PT Astra Serif"/>
          <w:sz w:val="26"/>
          <w:szCs w:val="26"/>
        </w:rPr>
      </w:pPr>
      <w:r w:rsidRPr="009C085C">
        <w:rPr>
          <w:rFonts w:ascii="PT Astra Serif" w:hAnsi="PT Astra Serif"/>
          <w:sz w:val="26"/>
          <w:szCs w:val="26"/>
        </w:rPr>
        <w:t xml:space="preserve">Общие правила определения требований к закупаемым заказчиками отдельным видам товаров, работ, услуг (в том числе предельных цен товаров, работ, услуг) утверждены постановлением Правительства Российской Федерации от 02.09.2015 № 926 (далее - Общие правила). </w:t>
      </w:r>
    </w:p>
    <w:p w:rsidR="009C085C" w:rsidRDefault="009C085C" w:rsidP="00D00EC2">
      <w:pPr>
        <w:tabs>
          <w:tab w:val="left" w:pos="975"/>
        </w:tabs>
        <w:ind w:firstLine="709"/>
        <w:jc w:val="both"/>
        <w:rPr>
          <w:rFonts w:ascii="PT Astra Serif" w:hAnsi="PT Astra Serif"/>
          <w:sz w:val="26"/>
          <w:szCs w:val="26"/>
        </w:rPr>
      </w:pPr>
      <w:r w:rsidRPr="009C085C">
        <w:rPr>
          <w:rFonts w:ascii="PT Astra Serif" w:hAnsi="PT Astra Serif"/>
          <w:sz w:val="26"/>
          <w:szCs w:val="26"/>
        </w:rPr>
        <w:t xml:space="preserve">Согласно пункту 2 Общих правил высшие исполнительные органы государственной власти субъектов Российской Федерации устанавливают применяемые государственными органами, их территориальными органами и подведомственными им казенными учреждениями, бюджетными учреждениями и унитарными предприятиями правила </w:t>
      </w:r>
      <w:r w:rsidRPr="009C085C">
        <w:rPr>
          <w:rFonts w:ascii="PT Astra Serif" w:hAnsi="PT Astra Serif"/>
          <w:sz w:val="26"/>
          <w:szCs w:val="26"/>
        </w:rPr>
        <w:lastRenderedPageBreak/>
        <w:t xml:space="preserve">определения требований к закупаемым ими отдельным видам товаров, работ, услуг (в том числе предельные цены товаров, работ, услуг) для обеспечения нужд субъектов Российской Федерации. </w:t>
      </w:r>
    </w:p>
    <w:p w:rsidR="009C085C" w:rsidRDefault="009C085C" w:rsidP="009C085C">
      <w:pPr>
        <w:tabs>
          <w:tab w:val="left" w:pos="975"/>
        </w:tabs>
        <w:ind w:firstLine="709"/>
        <w:jc w:val="both"/>
        <w:rPr>
          <w:rFonts w:ascii="PT Astra Serif" w:hAnsi="PT Astra Serif"/>
          <w:sz w:val="26"/>
          <w:szCs w:val="26"/>
        </w:rPr>
      </w:pPr>
      <w:r w:rsidRPr="009C085C">
        <w:rPr>
          <w:rFonts w:ascii="PT Astra Serif" w:hAnsi="PT Astra Serif"/>
          <w:sz w:val="26"/>
          <w:szCs w:val="26"/>
        </w:rPr>
        <w:t>Требования к закупаемым государственными органами, их территориальными органами и подведомственными им организациями, предусмотренными пунктом 2 Общих правил, отдельным видам товаров, работ, услуг (в том числе предельные цены товаров, работ, услуг) утверждаются в форме перечня отдельных видов товаров, работ, услуг, в отношении которых устанавливаются потребительские свойства (в том числе характеристики качества) и иные характеристики, имеющие влияние на цену отдельных видов товаров, работ, услуг (далее - ведомственный пе</w:t>
      </w:r>
      <w:r>
        <w:rPr>
          <w:rFonts w:ascii="PT Astra Serif" w:hAnsi="PT Astra Serif"/>
          <w:sz w:val="26"/>
          <w:szCs w:val="26"/>
        </w:rPr>
        <w:t>речень) (пункт 3 Общих правил).</w:t>
      </w:r>
    </w:p>
    <w:p w:rsidR="009C085C" w:rsidRDefault="009C085C" w:rsidP="009C085C">
      <w:pPr>
        <w:tabs>
          <w:tab w:val="left" w:pos="975"/>
        </w:tabs>
        <w:ind w:firstLine="709"/>
        <w:jc w:val="both"/>
        <w:rPr>
          <w:rFonts w:ascii="PT Astra Serif" w:hAnsi="PT Astra Serif"/>
          <w:sz w:val="26"/>
          <w:szCs w:val="26"/>
        </w:rPr>
      </w:pPr>
      <w:r w:rsidRPr="009C085C">
        <w:rPr>
          <w:rFonts w:ascii="PT Astra Serif" w:hAnsi="PT Astra Serif"/>
          <w:sz w:val="26"/>
          <w:szCs w:val="26"/>
        </w:rPr>
        <w:t>Следует отметить, что цена единицы планируемых к закупке</w:t>
      </w:r>
      <w:r>
        <w:rPr>
          <w:rFonts w:ascii="PT Astra Serif" w:hAnsi="PT Astra Serif"/>
          <w:sz w:val="26"/>
          <w:szCs w:val="26"/>
        </w:rPr>
        <w:t xml:space="preserve"> товаров, работ, услуг не может </w:t>
      </w:r>
      <w:r w:rsidRPr="009C085C">
        <w:rPr>
          <w:rFonts w:ascii="PT Astra Serif" w:hAnsi="PT Astra Serif"/>
          <w:sz w:val="26"/>
          <w:szCs w:val="26"/>
        </w:rPr>
        <w:t xml:space="preserve">быть выше предельной цены товаров, работ, услуг, установленной в ведомственном перечне (пункт 14 Общих правил). </w:t>
      </w:r>
    </w:p>
    <w:p w:rsidR="009C085C" w:rsidRDefault="009C085C" w:rsidP="009C085C">
      <w:pPr>
        <w:tabs>
          <w:tab w:val="left" w:pos="975"/>
        </w:tabs>
        <w:ind w:firstLine="709"/>
        <w:jc w:val="both"/>
        <w:rPr>
          <w:rFonts w:ascii="PT Astra Serif" w:hAnsi="PT Astra Serif"/>
          <w:sz w:val="26"/>
          <w:szCs w:val="26"/>
        </w:rPr>
      </w:pPr>
      <w:r w:rsidRPr="009C085C">
        <w:rPr>
          <w:rFonts w:ascii="PT Astra Serif" w:hAnsi="PT Astra Serif"/>
          <w:sz w:val="26"/>
          <w:szCs w:val="26"/>
        </w:rPr>
        <w:t xml:space="preserve">В соответствии с пунктом 15 Общих правил предельные цены товаров, работ, услуг, установленные высшими исполнительными органами государственной власти субъектов Российской Федерации, не могут превышать предельные цены товаров, работ, услуг, установленные указанными органами при утверждении нормативных затрат на обеспечение функций государственных органов субъектов Российской Федерации. </w:t>
      </w:r>
    </w:p>
    <w:p w:rsidR="009C085C" w:rsidRDefault="009C085C" w:rsidP="009C085C">
      <w:pPr>
        <w:tabs>
          <w:tab w:val="left" w:pos="975"/>
        </w:tabs>
        <w:ind w:firstLine="709"/>
        <w:jc w:val="both"/>
        <w:rPr>
          <w:rFonts w:ascii="PT Astra Serif" w:hAnsi="PT Astra Serif"/>
          <w:sz w:val="26"/>
          <w:szCs w:val="26"/>
        </w:rPr>
      </w:pPr>
      <w:r w:rsidRPr="009C085C">
        <w:rPr>
          <w:rFonts w:ascii="PT Astra Serif" w:hAnsi="PT Astra Serif"/>
          <w:sz w:val="26"/>
          <w:szCs w:val="26"/>
        </w:rPr>
        <w:t xml:space="preserve">При этом значения характеристик (свойств) отдельных видов товаров, работ, услуг (в том числе предельные цены товаров, работ, услуг), включенных в обязательный перечень, содержащийся в правилах определения требований, и закупаемых для отдельных категорий государственных гражданских служащих государственных органов субъектов Российской Федерации и муниципальных служащих, не могут превышать (если установлено верхнее предельное значение) или быть ниже (если установлено нижнее предельное значение) значений характеристик (свойств) соответствующих отдельных видов товаров, работ, услуг (в том числе предельные цены товаров, работ, услуг), установленных Правилами определения требований, для государственного гражданского служащего, замещающего должность руководителя (заместителя руководителя) Правила определения требований к закупаемым заказчиками отдельным видам товаров, работ, услуг (в том числе предельных цен товаров, работ, услуг), утвержденные постановлением Правительства Российской Федерации от 02.09.2015 № 927 (далее - </w:t>
      </w:r>
      <w:r>
        <w:rPr>
          <w:rFonts w:ascii="PT Astra Serif" w:hAnsi="PT Astra Serif"/>
          <w:sz w:val="26"/>
          <w:szCs w:val="26"/>
        </w:rPr>
        <w:t>Правила определения требований)</w:t>
      </w:r>
      <w:r w:rsidRPr="009C085C">
        <w:rPr>
          <w:rFonts w:ascii="PT Astra Serif" w:hAnsi="PT Astra Serif"/>
          <w:sz w:val="26"/>
          <w:szCs w:val="26"/>
        </w:rPr>
        <w:t xml:space="preserve"> структурного подразделения федерального государственного органа, относящуюся к высшей группе должностей гражданской службы категории "руководители" (абзац третий пункта 16 Общих правил).</w:t>
      </w:r>
    </w:p>
    <w:p w:rsidR="009C085C" w:rsidRDefault="009C085C" w:rsidP="009C085C">
      <w:pPr>
        <w:tabs>
          <w:tab w:val="left" w:pos="975"/>
        </w:tabs>
        <w:ind w:firstLine="709"/>
        <w:jc w:val="both"/>
        <w:rPr>
          <w:rFonts w:ascii="PT Astra Serif" w:hAnsi="PT Astra Serif"/>
          <w:sz w:val="26"/>
          <w:szCs w:val="26"/>
        </w:rPr>
      </w:pPr>
      <w:r w:rsidRPr="009C085C">
        <w:rPr>
          <w:rFonts w:ascii="PT Astra Serif" w:hAnsi="PT Astra Serif"/>
          <w:sz w:val="26"/>
          <w:szCs w:val="26"/>
        </w:rPr>
        <w:t xml:space="preserve"> Учитывая изложенное, при осуществлении закупок автотранспортных средств заказчикам следует руководствоваться предельными ценами отдельных видов товаров, работ, услуг, установленными в ведомственном переч</w:t>
      </w:r>
      <w:r>
        <w:rPr>
          <w:rFonts w:ascii="PT Astra Serif" w:hAnsi="PT Astra Serif"/>
          <w:sz w:val="26"/>
          <w:szCs w:val="26"/>
        </w:rPr>
        <w:t>не, и положениями Общих правил.</w:t>
      </w:r>
    </w:p>
    <w:p w:rsidR="009C085C" w:rsidRDefault="009C085C" w:rsidP="009C085C">
      <w:pPr>
        <w:tabs>
          <w:tab w:val="left" w:pos="975"/>
        </w:tabs>
        <w:ind w:firstLine="709"/>
        <w:jc w:val="both"/>
        <w:rPr>
          <w:rFonts w:ascii="PT Astra Serif" w:hAnsi="PT Astra Serif"/>
          <w:sz w:val="26"/>
          <w:szCs w:val="26"/>
        </w:rPr>
      </w:pPr>
      <w:r>
        <w:rPr>
          <w:rFonts w:ascii="PT Astra Serif" w:hAnsi="PT Astra Serif"/>
          <w:sz w:val="26"/>
          <w:szCs w:val="26"/>
        </w:rPr>
        <w:t>В</w:t>
      </w:r>
      <w:r w:rsidRPr="009C085C">
        <w:rPr>
          <w:rFonts w:ascii="PT Astra Serif" w:hAnsi="PT Astra Serif"/>
          <w:sz w:val="26"/>
          <w:szCs w:val="26"/>
        </w:rPr>
        <w:t xml:space="preserve"> настоящее время предусмотрена возможность закупки автомобилей российского производства, соответствующих предъявляемым для целей осуществления государственных (муниципальных) закупок требованиям о нормировании.</w:t>
      </w:r>
    </w:p>
    <w:p w:rsidR="009C085C" w:rsidRDefault="009C085C" w:rsidP="009C085C">
      <w:pPr>
        <w:tabs>
          <w:tab w:val="left" w:pos="975"/>
        </w:tabs>
        <w:ind w:firstLine="709"/>
        <w:jc w:val="both"/>
        <w:rPr>
          <w:rFonts w:ascii="PT Astra Serif" w:hAnsi="PT Astra Serif"/>
          <w:sz w:val="26"/>
          <w:szCs w:val="26"/>
        </w:rPr>
      </w:pPr>
      <w:r w:rsidRPr="009C085C">
        <w:rPr>
          <w:rFonts w:ascii="PT Astra Serif" w:hAnsi="PT Astra Serif"/>
          <w:sz w:val="26"/>
          <w:szCs w:val="26"/>
        </w:rPr>
        <w:t xml:space="preserve">Минфином России разработан и размещен на официальном сайте для размещения информации о подготовке федеральными органами исполнительной власти проектов нормативных правовых актов и результатах их общественного обсуждения в информационно-телекоммуникационной сети </w:t>
      </w:r>
      <w:r>
        <w:rPr>
          <w:rFonts w:ascii="PT Astra Serif" w:hAnsi="PT Astra Serif"/>
          <w:sz w:val="26"/>
          <w:szCs w:val="26"/>
        </w:rPr>
        <w:t>«</w:t>
      </w:r>
      <w:r w:rsidRPr="009C085C">
        <w:rPr>
          <w:rFonts w:ascii="PT Astra Serif" w:hAnsi="PT Astra Serif"/>
          <w:sz w:val="26"/>
          <w:szCs w:val="26"/>
        </w:rPr>
        <w:t xml:space="preserve">Интернет" проект постановления Правительства Российской Федерации </w:t>
      </w:r>
      <w:r>
        <w:rPr>
          <w:rFonts w:ascii="PT Astra Serif" w:hAnsi="PT Astra Serif"/>
          <w:sz w:val="26"/>
          <w:szCs w:val="26"/>
        </w:rPr>
        <w:t>«</w:t>
      </w:r>
      <w:r w:rsidRPr="009C085C">
        <w:rPr>
          <w:rFonts w:ascii="PT Astra Serif" w:hAnsi="PT Astra Serif"/>
          <w:sz w:val="26"/>
          <w:szCs w:val="26"/>
        </w:rPr>
        <w:t>О внесении изменений в некоторые акты Правительства Российской Федерации по вопросам нормирования закупок товаров, работ, услуг для обеспечения государственных и муниципальных нужд</w:t>
      </w:r>
      <w:r>
        <w:rPr>
          <w:rFonts w:ascii="PT Astra Serif" w:hAnsi="PT Astra Serif"/>
          <w:sz w:val="26"/>
          <w:szCs w:val="26"/>
        </w:rPr>
        <w:t>»</w:t>
      </w:r>
      <w:r w:rsidRPr="009C085C">
        <w:rPr>
          <w:rFonts w:ascii="PT Astra Serif" w:hAnsi="PT Astra Serif"/>
          <w:sz w:val="26"/>
          <w:szCs w:val="26"/>
        </w:rPr>
        <w:t xml:space="preserve"> (адрес страницы </w:t>
      </w:r>
      <w:hyperlink r:id="rId8" w:history="1">
        <w:r w:rsidRPr="00C04793">
          <w:rPr>
            <w:rStyle w:val="aa"/>
            <w:rFonts w:ascii="PT Astra Serif" w:hAnsi="PT Astra Serif"/>
            <w:sz w:val="26"/>
            <w:szCs w:val="26"/>
          </w:rPr>
          <w:t>https://regulation.gov.ru/Regulation/Npa/PublicView?npaID=154962</w:t>
        </w:r>
      </w:hyperlink>
      <w:r w:rsidRPr="009C085C">
        <w:rPr>
          <w:rFonts w:ascii="PT Astra Serif" w:hAnsi="PT Astra Serif"/>
          <w:sz w:val="26"/>
          <w:szCs w:val="26"/>
        </w:rPr>
        <w:t>).</w:t>
      </w:r>
    </w:p>
    <w:p w:rsidR="009C085C" w:rsidRDefault="009C085C" w:rsidP="009C085C">
      <w:pPr>
        <w:tabs>
          <w:tab w:val="left" w:pos="975"/>
        </w:tabs>
        <w:ind w:firstLine="709"/>
        <w:jc w:val="both"/>
        <w:rPr>
          <w:rFonts w:ascii="PT Astra Serif" w:hAnsi="PT Astra Serif"/>
          <w:sz w:val="26"/>
          <w:szCs w:val="26"/>
        </w:rPr>
      </w:pPr>
    </w:p>
    <w:p w:rsidR="009C085C" w:rsidRDefault="009C085C" w:rsidP="009C085C">
      <w:pPr>
        <w:tabs>
          <w:tab w:val="left" w:pos="975"/>
        </w:tabs>
        <w:ind w:firstLine="709"/>
        <w:jc w:val="both"/>
        <w:rPr>
          <w:rFonts w:ascii="PT Astra Serif" w:hAnsi="PT Astra Serif"/>
          <w:i/>
          <w:sz w:val="26"/>
          <w:szCs w:val="26"/>
        </w:rPr>
      </w:pPr>
      <w:r w:rsidRPr="009C085C">
        <w:rPr>
          <w:rFonts w:ascii="PT Astra Serif" w:hAnsi="PT Astra Serif"/>
          <w:i/>
          <w:sz w:val="26"/>
          <w:szCs w:val="26"/>
        </w:rPr>
        <w:t>Письмо Минздрава России от 14.03.2025 № 24-3/2469</w:t>
      </w:r>
    </w:p>
    <w:p w:rsidR="009C085C" w:rsidRDefault="009C085C" w:rsidP="009C085C">
      <w:pPr>
        <w:tabs>
          <w:tab w:val="left" w:pos="975"/>
        </w:tabs>
        <w:ind w:firstLine="709"/>
        <w:jc w:val="both"/>
        <w:rPr>
          <w:rFonts w:ascii="PT Astra Serif" w:hAnsi="PT Astra Serif"/>
          <w:sz w:val="26"/>
          <w:szCs w:val="26"/>
        </w:rPr>
      </w:pPr>
      <w:r w:rsidRPr="009C085C">
        <w:rPr>
          <w:rFonts w:ascii="PT Astra Serif" w:hAnsi="PT Astra Serif"/>
          <w:sz w:val="26"/>
          <w:szCs w:val="26"/>
        </w:rPr>
        <w:t>Минздрав разъяснил особенности применения Постановления № 1875 при осуществлении закупок лекарственных средств или медицинских изделий</w:t>
      </w:r>
      <w:r>
        <w:rPr>
          <w:rFonts w:ascii="PT Astra Serif" w:hAnsi="PT Astra Serif"/>
          <w:sz w:val="26"/>
          <w:szCs w:val="26"/>
        </w:rPr>
        <w:t>.</w:t>
      </w:r>
    </w:p>
    <w:p w:rsidR="009C085C" w:rsidRDefault="009C085C" w:rsidP="009C085C">
      <w:pPr>
        <w:tabs>
          <w:tab w:val="left" w:pos="975"/>
        </w:tabs>
        <w:ind w:firstLine="709"/>
        <w:jc w:val="both"/>
        <w:rPr>
          <w:rFonts w:ascii="PT Astra Serif" w:hAnsi="PT Astra Serif"/>
          <w:sz w:val="26"/>
          <w:szCs w:val="26"/>
        </w:rPr>
      </w:pPr>
      <w:r>
        <w:rPr>
          <w:rFonts w:ascii="PT Astra Serif" w:hAnsi="PT Astra Serif"/>
          <w:sz w:val="26"/>
          <w:szCs w:val="26"/>
        </w:rPr>
        <w:t>С</w:t>
      </w:r>
      <w:r w:rsidRPr="009C085C">
        <w:rPr>
          <w:rFonts w:ascii="PT Astra Serif" w:hAnsi="PT Astra Serif"/>
          <w:sz w:val="26"/>
          <w:szCs w:val="26"/>
        </w:rPr>
        <w:t xml:space="preserve">огласно письму Минфина России от 31 января 2025 г. № 24-01-06/8697, запрет применяется в отношении товаров, работ, услуг, указанных в приложении № 1 к Постановлению № 1875 (далее – перечень № 1), ограничение – товаров, указанных в приложении № 2 к Постановлению № 1875 (далее – перечень № 2), преимущество – товаров, не указанных в перечне № 1 и № 2, а минимальная доля применяется отдельными заказчиками в отношении товаров, указанных в приложении № 3 к Постановлению № 1875 (далее – перечень № 3). </w:t>
      </w:r>
    </w:p>
    <w:p w:rsidR="009C085C" w:rsidRDefault="009C085C" w:rsidP="009C085C">
      <w:pPr>
        <w:tabs>
          <w:tab w:val="left" w:pos="975"/>
        </w:tabs>
        <w:ind w:firstLine="709"/>
        <w:jc w:val="both"/>
        <w:rPr>
          <w:rFonts w:ascii="PT Astra Serif" w:hAnsi="PT Astra Serif"/>
          <w:sz w:val="26"/>
          <w:szCs w:val="26"/>
        </w:rPr>
      </w:pPr>
      <w:r w:rsidRPr="009C085C">
        <w:rPr>
          <w:rFonts w:ascii="PT Astra Serif" w:hAnsi="PT Astra Serif"/>
          <w:sz w:val="26"/>
          <w:szCs w:val="26"/>
        </w:rPr>
        <w:t xml:space="preserve">В перечнях № 1 – № 3 в графах «Наименование товара, работы, услуги» и «Наименование товара» (по аналогии с ранее действовавшими нормативными правовыми актами, регулировавшими вопросы применения запрета, ограничения, преимущества) с учетом поступивших в Минфин России предложений федеральных 2 органов исполнительной власти указаны группы товаров, работ, услуг, которые по общему правилу (за исключением отдельных позиций, в том числе касающихся медицинских изделий) являются наименованиями соответствующих группировок по ОКПД 2 (от подкласса до подкатегории). </w:t>
      </w:r>
    </w:p>
    <w:p w:rsidR="009C085C" w:rsidRDefault="009C085C" w:rsidP="009C085C">
      <w:pPr>
        <w:tabs>
          <w:tab w:val="left" w:pos="975"/>
        </w:tabs>
        <w:ind w:firstLine="709"/>
        <w:jc w:val="both"/>
        <w:rPr>
          <w:rFonts w:ascii="PT Astra Serif" w:hAnsi="PT Astra Serif"/>
          <w:sz w:val="26"/>
          <w:szCs w:val="26"/>
        </w:rPr>
      </w:pPr>
      <w:r w:rsidRPr="009C085C">
        <w:rPr>
          <w:rFonts w:ascii="PT Astra Serif" w:hAnsi="PT Astra Serif"/>
          <w:sz w:val="26"/>
          <w:szCs w:val="26"/>
        </w:rPr>
        <w:t xml:space="preserve">В ОКПД 2 использованы иерархический метод классификации и последовательный метод кодирования, в связи с чем группировка более высокого уровня включает в себя все входящие в нее группировки. </w:t>
      </w:r>
    </w:p>
    <w:p w:rsidR="009C085C" w:rsidRDefault="009C085C" w:rsidP="009C085C">
      <w:pPr>
        <w:tabs>
          <w:tab w:val="left" w:pos="975"/>
        </w:tabs>
        <w:ind w:firstLine="709"/>
        <w:jc w:val="both"/>
        <w:rPr>
          <w:rFonts w:ascii="PT Astra Serif" w:hAnsi="PT Astra Serif"/>
          <w:sz w:val="26"/>
          <w:szCs w:val="26"/>
        </w:rPr>
      </w:pPr>
      <w:r w:rsidRPr="009C085C">
        <w:rPr>
          <w:rFonts w:ascii="PT Astra Serif" w:hAnsi="PT Astra Serif"/>
          <w:sz w:val="26"/>
          <w:szCs w:val="26"/>
        </w:rPr>
        <w:t xml:space="preserve">Таким образом, соответствующая «защитная» мера распространяется на всю указанную в позиции перечней № 1 – № 3 группу товаров, работ, услуг по ОКПД 2, то есть на все товары, работы, услуги, включенные в указанную в соответствующей позиции перечней № 1 – № 3 группировку по ОКПД 2. </w:t>
      </w:r>
    </w:p>
    <w:p w:rsidR="009C085C" w:rsidRDefault="009C085C" w:rsidP="009C085C">
      <w:pPr>
        <w:tabs>
          <w:tab w:val="left" w:pos="975"/>
        </w:tabs>
        <w:ind w:firstLine="709"/>
        <w:jc w:val="both"/>
        <w:rPr>
          <w:rFonts w:ascii="PT Astra Serif" w:hAnsi="PT Astra Serif"/>
          <w:sz w:val="26"/>
          <w:szCs w:val="26"/>
        </w:rPr>
      </w:pPr>
      <w:r w:rsidRPr="009C085C">
        <w:rPr>
          <w:rFonts w:ascii="PT Astra Serif" w:hAnsi="PT Astra Serif"/>
          <w:sz w:val="26"/>
          <w:szCs w:val="26"/>
        </w:rPr>
        <w:t>Постановлением № 1875 «защитная» мера в виде преимущества введена исключительно в отношении товаров (товаров российского происхождения, в том числе поставляемых при выполнении закупаемых раб</w:t>
      </w:r>
      <w:r>
        <w:rPr>
          <w:rFonts w:ascii="PT Astra Serif" w:hAnsi="PT Astra Serif"/>
          <w:sz w:val="26"/>
          <w:szCs w:val="26"/>
        </w:rPr>
        <w:t>от, оказании закупаемых услуг).</w:t>
      </w:r>
    </w:p>
    <w:p w:rsidR="009C085C" w:rsidRDefault="009C085C" w:rsidP="009C085C">
      <w:pPr>
        <w:tabs>
          <w:tab w:val="left" w:pos="975"/>
        </w:tabs>
        <w:ind w:firstLine="709"/>
        <w:jc w:val="both"/>
        <w:rPr>
          <w:rFonts w:ascii="PT Astra Serif" w:hAnsi="PT Astra Serif"/>
          <w:sz w:val="26"/>
          <w:szCs w:val="26"/>
        </w:rPr>
      </w:pPr>
      <w:r w:rsidRPr="009C085C">
        <w:rPr>
          <w:rFonts w:ascii="PT Astra Serif" w:hAnsi="PT Astra Serif"/>
          <w:sz w:val="26"/>
          <w:szCs w:val="26"/>
        </w:rPr>
        <w:t xml:space="preserve">Соответственно, преимущество не применяется, если объектом закупки (предметом закупки) являются исключительно работы, услуги, при выполнении, оказании которых поставка товара заказчику не осуществляется. </w:t>
      </w:r>
    </w:p>
    <w:p w:rsidR="00167B92" w:rsidRDefault="009C085C" w:rsidP="009C085C">
      <w:pPr>
        <w:tabs>
          <w:tab w:val="left" w:pos="975"/>
        </w:tabs>
        <w:ind w:firstLine="709"/>
        <w:jc w:val="both"/>
        <w:rPr>
          <w:rFonts w:ascii="PT Astra Serif" w:hAnsi="PT Astra Serif"/>
          <w:sz w:val="26"/>
          <w:szCs w:val="26"/>
        </w:rPr>
      </w:pPr>
      <w:r w:rsidRPr="009C085C">
        <w:rPr>
          <w:rFonts w:ascii="PT Astra Serif" w:hAnsi="PT Astra Serif"/>
          <w:sz w:val="26"/>
          <w:szCs w:val="26"/>
        </w:rPr>
        <w:t xml:space="preserve">Согласно подпункту «б» пункта 4 Постановления № 1875 преимущество применяется, если объект закупки (предмет закупки) включает хотя бы один товар, не указанный в перечнях № 1 и № 2. </w:t>
      </w:r>
    </w:p>
    <w:p w:rsidR="00167B92" w:rsidRDefault="009C085C" w:rsidP="009C085C">
      <w:pPr>
        <w:tabs>
          <w:tab w:val="left" w:pos="975"/>
        </w:tabs>
        <w:ind w:firstLine="709"/>
        <w:jc w:val="both"/>
        <w:rPr>
          <w:rFonts w:ascii="PT Astra Serif" w:hAnsi="PT Astra Serif"/>
          <w:sz w:val="26"/>
          <w:szCs w:val="26"/>
        </w:rPr>
      </w:pPr>
      <w:r w:rsidRPr="009C085C">
        <w:rPr>
          <w:rFonts w:ascii="PT Astra Serif" w:hAnsi="PT Astra Serif"/>
          <w:sz w:val="26"/>
          <w:szCs w:val="26"/>
        </w:rPr>
        <w:t xml:space="preserve">Включение в объект закупки (предмет закупки) товаров, указанных в перечнях № 1 и № 2, условием для применения преимущества не является. </w:t>
      </w:r>
    </w:p>
    <w:p w:rsidR="00167B92" w:rsidRDefault="009C085C" w:rsidP="009C085C">
      <w:pPr>
        <w:tabs>
          <w:tab w:val="left" w:pos="975"/>
        </w:tabs>
        <w:ind w:firstLine="709"/>
        <w:jc w:val="both"/>
        <w:rPr>
          <w:rFonts w:ascii="PT Astra Serif" w:hAnsi="PT Astra Serif"/>
          <w:sz w:val="26"/>
          <w:szCs w:val="26"/>
        </w:rPr>
      </w:pPr>
      <w:r w:rsidRPr="009C085C">
        <w:rPr>
          <w:rFonts w:ascii="PT Astra Serif" w:hAnsi="PT Astra Serif"/>
          <w:sz w:val="26"/>
          <w:szCs w:val="26"/>
        </w:rPr>
        <w:t>Следовательно, преимущество применяется в любом из следующих случаев: товар (товары), включенные в объект закупки (предмет закупки), не указан (не указаны) в перечнях № 1 и № 2;</w:t>
      </w:r>
    </w:p>
    <w:p w:rsidR="00167B92" w:rsidRDefault="009C085C" w:rsidP="009C085C">
      <w:pPr>
        <w:tabs>
          <w:tab w:val="left" w:pos="975"/>
        </w:tabs>
        <w:ind w:firstLine="709"/>
        <w:jc w:val="both"/>
        <w:rPr>
          <w:rFonts w:ascii="PT Astra Serif" w:hAnsi="PT Astra Serif"/>
          <w:sz w:val="26"/>
          <w:szCs w:val="26"/>
        </w:rPr>
      </w:pPr>
      <w:r w:rsidRPr="009C085C">
        <w:rPr>
          <w:rFonts w:ascii="PT Astra Serif" w:hAnsi="PT Astra Serif"/>
          <w:sz w:val="26"/>
          <w:szCs w:val="26"/>
        </w:rPr>
        <w:t xml:space="preserve"> объект закупки (предмет закупки) одновременно включает как товар, указанный в перечнях № 1 и № 2, так и товар, не указанный в таких перечнях. </w:t>
      </w:r>
    </w:p>
    <w:p w:rsidR="00167B92" w:rsidRDefault="009C085C" w:rsidP="009C085C">
      <w:pPr>
        <w:tabs>
          <w:tab w:val="left" w:pos="975"/>
        </w:tabs>
        <w:ind w:firstLine="709"/>
        <w:jc w:val="both"/>
        <w:rPr>
          <w:rFonts w:ascii="PT Astra Serif" w:hAnsi="PT Astra Serif"/>
          <w:sz w:val="26"/>
          <w:szCs w:val="26"/>
        </w:rPr>
      </w:pPr>
      <w:r w:rsidRPr="009C085C">
        <w:rPr>
          <w:rFonts w:ascii="PT Astra Serif" w:hAnsi="PT Astra Serif"/>
          <w:sz w:val="26"/>
          <w:szCs w:val="26"/>
        </w:rPr>
        <w:t xml:space="preserve">Заказчик определяет и обосновывает </w:t>
      </w:r>
      <w:r w:rsidR="00167B92">
        <w:rPr>
          <w:rFonts w:ascii="PT Astra Serif" w:hAnsi="PT Astra Serif"/>
          <w:sz w:val="26"/>
          <w:szCs w:val="26"/>
        </w:rPr>
        <w:t>НМЦК</w:t>
      </w:r>
      <w:r w:rsidRPr="009C085C">
        <w:rPr>
          <w:rFonts w:ascii="PT Astra Serif" w:hAnsi="PT Astra Serif"/>
          <w:sz w:val="26"/>
          <w:szCs w:val="26"/>
        </w:rPr>
        <w:t xml:space="preserve">, цену контракта, заключаемого с единственным поставщиком (подрядчиком, исполнителем), начальную цену единицы товара, в том числе товаров, поставляемых при выполнении закупаемых работ, оказании закупаемых услуг, начальную цену единицы работы, услуги в соответствии с положениями статьи 22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w:t>
      </w:r>
      <w:r w:rsidRPr="009C085C">
        <w:rPr>
          <w:rFonts w:ascii="PT Astra Serif" w:hAnsi="PT Astra Serif"/>
          <w:sz w:val="26"/>
          <w:szCs w:val="26"/>
        </w:rPr>
        <w:lastRenderedPageBreak/>
        <w:t>(далее – Федеральный закон № 44-ФЗ) и с учетом установленных особенностей определения цен.</w:t>
      </w:r>
    </w:p>
    <w:p w:rsidR="00167B92" w:rsidRDefault="009C085C" w:rsidP="009C085C">
      <w:pPr>
        <w:tabs>
          <w:tab w:val="left" w:pos="975"/>
        </w:tabs>
        <w:ind w:firstLine="709"/>
        <w:jc w:val="both"/>
        <w:rPr>
          <w:rFonts w:ascii="PT Astra Serif" w:hAnsi="PT Astra Serif"/>
          <w:sz w:val="26"/>
          <w:szCs w:val="26"/>
        </w:rPr>
      </w:pPr>
      <w:r w:rsidRPr="009C085C">
        <w:rPr>
          <w:rFonts w:ascii="PT Astra Serif" w:hAnsi="PT Astra Serif"/>
          <w:sz w:val="26"/>
          <w:szCs w:val="26"/>
        </w:rPr>
        <w:t xml:space="preserve">Случаи, при которых особенности цен не применяются, установлены подпунктом «г» пункта 7 Постановления № 1875. </w:t>
      </w:r>
    </w:p>
    <w:p w:rsidR="00167B92" w:rsidRDefault="009C085C" w:rsidP="009C085C">
      <w:pPr>
        <w:tabs>
          <w:tab w:val="left" w:pos="975"/>
        </w:tabs>
        <w:ind w:firstLine="709"/>
        <w:jc w:val="both"/>
        <w:rPr>
          <w:rFonts w:ascii="PT Astra Serif" w:hAnsi="PT Astra Serif"/>
          <w:sz w:val="26"/>
          <w:szCs w:val="26"/>
        </w:rPr>
      </w:pPr>
      <w:r w:rsidRPr="009C085C">
        <w:rPr>
          <w:rFonts w:ascii="PT Astra Serif" w:hAnsi="PT Astra Serif"/>
          <w:sz w:val="26"/>
          <w:szCs w:val="26"/>
        </w:rPr>
        <w:t xml:space="preserve">Согласно абзацу второму указанного подпункта особенности определения цен не применяются при осуществлении закупки товара, в отношении которого в соответствии с частью 22 статьи 22 Федерального закона № 44-ФЗ установлен порядок определения </w:t>
      </w:r>
      <w:r w:rsidR="00167B92">
        <w:rPr>
          <w:rFonts w:ascii="PT Astra Serif" w:hAnsi="PT Astra Serif"/>
          <w:sz w:val="26"/>
          <w:szCs w:val="26"/>
        </w:rPr>
        <w:t>НМЦК</w:t>
      </w:r>
      <w:r w:rsidRPr="009C085C">
        <w:rPr>
          <w:rFonts w:ascii="PT Astra Serif" w:hAnsi="PT Astra Serif"/>
          <w:sz w:val="26"/>
          <w:szCs w:val="26"/>
        </w:rPr>
        <w:t xml:space="preserve">, цены контракта, заключаемого с единственным поставщиком (подрядчиком, исполнителем), начальной цены единицы товара, работы, услуги. </w:t>
      </w:r>
    </w:p>
    <w:p w:rsidR="00167B92" w:rsidRDefault="009C085C" w:rsidP="009C085C">
      <w:pPr>
        <w:tabs>
          <w:tab w:val="left" w:pos="975"/>
        </w:tabs>
        <w:ind w:firstLine="709"/>
        <w:jc w:val="both"/>
        <w:rPr>
          <w:rFonts w:ascii="PT Astra Serif" w:hAnsi="PT Astra Serif"/>
          <w:sz w:val="26"/>
          <w:szCs w:val="26"/>
        </w:rPr>
      </w:pPr>
      <w:r w:rsidRPr="009C085C">
        <w:rPr>
          <w:rFonts w:ascii="PT Astra Serif" w:hAnsi="PT Astra Serif"/>
          <w:sz w:val="26"/>
          <w:szCs w:val="26"/>
        </w:rPr>
        <w:t>Например, особенности определения цен не применяются в отношении:</w:t>
      </w:r>
    </w:p>
    <w:p w:rsidR="00167B92" w:rsidRDefault="009C085C" w:rsidP="009C085C">
      <w:pPr>
        <w:tabs>
          <w:tab w:val="left" w:pos="975"/>
        </w:tabs>
        <w:ind w:firstLine="709"/>
        <w:jc w:val="both"/>
        <w:rPr>
          <w:rFonts w:ascii="PT Astra Serif" w:hAnsi="PT Astra Serif"/>
          <w:sz w:val="26"/>
          <w:szCs w:val="26"/>
        </w:rPr>
      </w:pPr>
      <w:r w:rsidRPr="009C085C">
        <w:rPr>
          <w:rFonts w:ascii="PT Astra Serif" w:hAnsi="PT Astra Serif"/>
          <w:sz w:val="26"/>
          <w:szCs w:val="26"/>
        </w:rPr>
        <w:t xml:space="preserve">лекарственных препаратов, в отношении которых установлен порядок определения </w:t>
      </w:r>
      <w:r w:rsidR="00167B92">
        <w:rPr>
          <w:rFonts w:ascii="PT Astra Serif" w:hAnsi="PT Astra Serif"/>
          <w:sz w:val="26"/>
          <w:szCs w:val="26"/>
        </w:rPr>
        <w:t>НМЦК</w:t>
      </w:r>
      <w:r w:rsidRPr="009C085C">
        <w:rPr>
          <w:rFonts w:ascii="PT Astra Serif" w:hAnsi="PT Astra Serif"/>
          <w:sz w:val="26"/>
          <w:szCs w:val="26"/>
        </w:rPr>
        <w:t>,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лекарственных препаратов для медицинского применения, утвержденный приказом Минздрава России от 19 декабря 2019 г. № 1064н;</w:t>
      </w:r>
    </w:p>
    <w:p w:rsidR="00167B92" w:rsidRDefault="009C085C" w:rsidP="009C085C">
      <w:pPr>
        <w:tabs>
          <w:tab w:val="left" w:pos="975"/>
        </w:tabs>
        <w:ind w:firstLine="709"/>
        <w:jc w:val="both"/>
        <w:rPr>
          <w:rFonts w:ascii="PT Astra Serif" w:hAnsi="PT Astra Serif"/>
          <w:sz w:val="26"/>
          <w:szCs w:val="26"/>
        </w:rPr>
      </w:pPr>
      <w:r w:rsidRPr="009C085C">
        <w:rPr>
          <w:rFonts w:ascii="PT Astra Serif" w:hAnsi="PT Astra Serif"/>
          <w:sz w:val="26"/>
          <w:szCs w:val="26"/>
        </w:rPr>
        <w:t xml:space="preserve">медицинских изделий, в отношении которых установлен порядок определения </w:t>
      </w:r>
      <w:r w:rsidR="00167B92">
        <w:rPr>
          <w:rFonts w:ascii="PT Astra Serif" w:hAnsi="PT Astra Serif"/>
          <w:sz w:val="26"/>
          <w:szCs w:val="26"/>
        </w:rPr>
        <w:t>НМЦК</w:t>
      </w:r>
      <w:r w:rsidRPr="009C085C">
        <w:rPr>
          <w:rFonts w:ascii="PT Astra Serif" w:hAnsi="PT Astra Serif"/>
          <w:sz w:val="26"/>
          <w:szCs w:val="26"/>
        </w:rPr>
        <w:t xml:space="preserve">, цены контракта, заключаемого с единственным поставщиком (подрядчиком, исполнителем), и начальной цены единицы товара, работы, услуги при осуществлении закупок медицинских изделий, утвержденный приказом Минздрава России от 15 мая 2020 г. № 450н. </w:t>
      </w:r>
    </w:p>
    <w:p w:rsidR="009C085C" w:rsidRDefault="009C085C" w:rsidP="009C085C">
      <w:pPr>
        <w:tabs>
          <w:tab w:val="left" w:pos="975"/>
        </w:tabs>
        <w:ind w:firstLine="709"/>
        <w:jc w:val="both"/>
        <w:rPr>
          <w:rFonts w:ascii="PT Astra Serif" w:hAnsi="PT Astra Serif"/>
          <w:sz w:val="26"/>
          <w:szCs w:val="26"/>
        </w:rPr>
      </w:pPr>
      <w:r w:rsidRPr="009C085C">
        <w:rPr>
          <w:rFonts w:ascii="PT Astra Serif" w:hAnsi="PT Astra Serif"/>
          <w:sz w:val="26"/>
          <w:szCs w:val="26"/>
        </w:rPr>
        <w:t>Постановлением № 1875 в отношении лекарственных препаратов, входящих в перечень стратегически значимых лекарственных средств, производство которых должно быть обеспечено на территории Российской Федерации, предусматривается приравнивание заявки, содержащей предложение о поставке лекарственного препарата, происходящего из государств-членов Евразийского экономического союза, но все стадии производства которого на территории указанных государств не осуществляются, к заявке, содержащей предложение о поставке лекарственного препарата, происходящего из иностранного государства, в целях отклонения таких заявок в рамках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167B92" w:rsidRDefault="00167B92" w:rsidP="009C085C">
      <w:pPr>
        <w:tabs>
          <w:tab w:val="left" w:pos="975"/>
        </w:tabs>
        <w:ind w:firstLine="709"/>
        <w:jc w:val="both"/>
        <w:rPr>
          <w:rFonts w:ascii="PT Astra Serif" w:hAnsi="PT Astra Serif"/>
          <w:sz w:val="26"/>
          <w:szCs w:val="26"/>
        </w:rPr>
      </w:pPr>
    </w:p>
    <w:p w:rsidR="00167B92" w:rsidRPr="00167B92" w:rsidRDefault="00167B92" w:rsidP="009C085C">
      <w:pPr>
        <w:tabs>
          <w:tab w:val="left" w:pos="975"/>
        </w:tabs>
        <w:ind w:firstLine="709"/>
        <w:jc w:val="both"/>
        <w:rPr>
          <w:rFonts w:ascii="PT Astra Serif" w:hAnsi="PT Astra Serif"/>
          <w:i/>
          <w:sz w:val="26"/>
          <w:szCs w:val="26"/>
        </w:rPr>
      </w:pPr>
      <w:r w:rsidRPr="00167B92">
        <w:rPr>
          <w:rFonts w:ascii="PT Astra Serif" w:hAnsi="PT Astra Serif"/>
          <w:i/>
          <w:sz w:val="26"/>
          <w:szCs w:val="26"/>
        </w:rPr>
        <w:t>Письмо ФАС России от 14.03.2025 № ВК/23244/25 «О результатах рассмотрения обращения»</w:t>
      </w:r>
    </w:p>
    <w:p w:rsidR="00167B92" w:rsidRDefault="00167B92" w:rsidP="009C085C">
      <w:pPr>
        <w:tabs>
          <w:tab w:val="left" w:pos="975"/>
        </w:tabs>
        <w:ind w:firstLine="709"/>
        <w:jc w:val="both"/>
        <w:rPr>
          <w:rFonts w:ascii="PT Astra Serif" w:hAnsi="PT Astra Serif"/>
          <w:sz w:val="26"/>
          <w:szCs w:val="26"/>
        </w:rPr>
      </w:pPr>
      <w:r w:rsidRPr="00167B92">
        <w:rPr>
          <w:rFonts w:ascii="PT Astra Serif" w:hAnsi="PT Astra Serif"/>
          <w:sz w:val="26"/>
          <w:szCs w:val="26"/>
        </w:rPr>
        <w:t>ФАС России разъяснила правила расчета НМЦК при закупке топлива</w:t>
      </w:r>
      <w:r>
        <w:rPr>
          <w:rFonts w:ascii="PT Astra Serif" w:hAnsi="PT Astra Serif"/>
          <w:sz w:val="26"/>
          <w:szCs w:val="26"/>
        </w:rPr>
        <w:t>.</w:t>
      </w:r>
    </w:p>
    <w:p w:rsidR="00167B92" w:rsidRDefault="00167B92" w:rsidP="009C085C">
      <w:pPr>
        <w:tabs>
          <w:tab w:val="left" w:pos="975"/>
        </w:tabs>
        <w:ind w:firstLine="709"/>
        <w:jc w:val="both"/>
        <w:rPr>
          <w:rFonts w:ascii="PT Astra Serif" w:hAnsi="PT Astra Serif"/>
          <w:sz w:val="26"/>
          <w:szCs w:val="26"/>
        </w:rPr>
      </w:pPr>
      <w:r w:rsidRPr="00167B92">
        <w:rPr>
          <w:rFonts w:ascii="PT Astra Serif" w:hAnsi="PT Astra Serif"/>
          <w:sz w:val="26"/>
          <w:szCs w:val="26"/>
        </w:rPr>
        <w:t xml:space="preserve">В соответствии с пунктом 1 Порядка правила расчета заказчиками НМЦК, цены контракта, заключаемого с единственным поставщиком (подрядчиком, исполнителем) (далее – Цена контракта), начальной цены единицы товара, работы, услуги (далее – Начальная цена) для обеспечения государственных и муниципальных нужд распространяются на моторное топливо, включая дизельное топливо, автомобильный и авиационный бензин, предусмотренные техническим регламентом Таможенного союза «О требованиях к автомобильному и авиационному бензину, дизельному и судовому топливу, топливу для реактивных двигателей и мазуту», утвержденным решением Комиссии Таможенного союза от 18.10.2011 № 826 (далее – Технический регламент). </w:t>
      </w:r>
    </w:p>
    <w:p w:rsidR="00167B92" w:rsidRDefault="00167B92" w:rsidP="009C085C">
      <w:pPr>
        <w:tabs>
          <w:tab w:val="left" w:pos="975"/>
        </w:tabs>
        <w:ind w:firstLine="709"/>
        <w:jc w:val="both"/>
        <w:rPr>
          <w:rFonts w:ascii="PT Astra Serif" w:hAnsi="PT Astra Serif"/>
          <w:sz w:val="26"/>
          <w:szCs w:val="26"/>
        </w:rPr>
      </w:pPr>
      <w:r w:rsidRPr="00167B92">
        <w:rPr>
          <w:rFonts w:ascii="PT Astra Serif" w:hAnsi="PT Astra Serif"/>
          <w:sz w:val="26"/>
          <w:szCs w:val="26"/>
        </w:rPr>
        <w:t xml:space="preserve">В соответствии с Техническим регламентом дизельное топливо разграничивается на летнее, зимнее, арктическое и межсезонное, в связи с чем, действие Порядка распространяется на указанные виды дизельного топлива. </w:t>
      </w:r>
    </w:p>
    <w:p w:rsidR="00167B92" w:rsidRDefault="00167B92" w:rsidP="009C085C">
      <w:pPr>
        <w:tabs>
          <w:tab w:val="left" w:pos="975"/>
        </w:tabs>
        <w:ind w:firstLine="709"/>
        <w:jc w:val="both"/>
        <w:rPr>
          <w:rFonts w:ascii="PT Astra Serif" w:hAnsi="PT Astra Serif"/>
          <w:sz w:val="26"/>
          <w:szCs w:val="26"/>
        </w:rPr>
      </w:pPr>
      <w:r w:rsidRPr="00167B92">
        <w:rPr>
          <w:rFonts w:ascii="PT Astra Serif" w:hAnsi="PT Astra Serif"/>
          <w:sz w:val="26"/>
          <w:szCs w:val="26"/>
        </w:rPr>
        <w:lastRenderedPageBreak/>
        <w:t>В соответствии с положениями Порядка основой при формировании НМЦК, Цены контракта, Начальной цены являются текущие рыночные цены, определенные в зависимости от условий поставки товара:</w:t>
      </w:r>
    </w:p>
    <w:p w:rsidR="00167B92" w:rsidRDefault="00167B92" w:rsidP="009C085C">
      <w:pPr>
        <w:tabs>
          <w:tab w:val="left" w:pos="975"/>
        </w:tabs>
        <w:ind w:firstLine="709"/>
        <w:jc w:val="both"/>
        <w:rPr>
          <w:rFonts w:ascii="PT Astra Serif" w:hAnsi="PT Astra Serif"/>
          <w:sz w:val="26"/>
          <w:szCs w:val="26"/>
        </w:rPr>
      </w:pPr>
      <w:r w:rsidRPr="00167B92">
        <w:rPr>
          <w:rFonts w:ascii="PT Astra Serif" w:hAnsi="PT Astra Serif"/>
          <w:sz w:val="26"/>
          <w:szCs w:val="26"/>
        </w:rPr>
        <w:t xml:space="preserve"> – региональные биржевые и (или) внебиржевые индексы цен на товар, а также биржевые индексы цен на нефтеперерабатывающем заводе(данные индексы публикуются на официальном сайте биржи в информационнотелеком</w:t>
      </w:r>
      <w:r>
        <w:rPr>
          <w:rFonts w:ascii="PT Astra Serif" w:hAnsi="PT Astra Serif"/>
          <w:sz w:val="26"/>
          <w:szCs w:val="26"/>
        </w:rPr>
        <w:t>муникационной сети «Интернет»);</w:t>
      </w:r>
    </w:p>
    <w:p w:rsidR="00167B92" w:rsidRDefault="00167B92" w:rsidP="009C085C">
      <w:pPr>
        <w:tabs>
          <w:tab w:val="left" w:pos="975"/>
        </w:tabs>
        <w:ind w:firstLine="709"/>
        <w:jc w:val="both"/>
        <w:rPr>
          <w:rFonts w:ascii="PT Astra Serif" w:hAnsi="PT Astra Serif"/>
          <w:sz w:val="26"/>
          <w:szCs w:val="26"/>
        </w:rPr>
      </w:pPr>
      <w:r w:rsidRPr="00167B92">
        <w:rPr>
          <w:rFonts w:ascii="PT Astra Serif" w:hAnsi="PT Astra Serif"/>
          <w:sz w:val="26"/>
          <w:szCs w:val="26"/>
        </w:rPr>
        <w:t>– статистические данные, предоставляемые ЦДУ ТЭК – филиалом ФГБУ «РЭА» Минэнерго России (далее – ЦДУ ТЭК) согласно договору о предоставлении услуг по подготовке и передаче информационных продуктов в области ТЭК;</w:t>
      </w:r>
    </w:p>
    <w:p w:rsidR="00167B92" w:rsidRDefault="00167B92" w:rsidP="009C085C">
      <w:pPr>
        <w:tabs>
          <w:tab w:val="left" w:pos="975"/>
        </w:tabs>
        <w:ind w:firstLine="709"/>
        <w:jc w:val="both"/>
        <w:rPr>
          <w:rFonts w:ascii="PT Astra Serif" w:hAnsi="PT Astra Serif"/>
          <w:sz w:val="26"/>
          <w:szCs w:val="26"/>
        </w:rPr>
      </w:pPr>
      <w:r w:rsidRPr="00167B92">
        <w:rPr>
          <w:rFonts w:ascii="PT Astra Serif" w:hAnsi="PT Astra Serif"/>
          <w:sz w:val="26"/>
          <w:szCs w:val="26"/>
        </w:rPr>
        <w:t xml:space="preserve"> – статистические данные Федеральной службы государственной статистики (Росстат);</w:t>
      </w:r>
    </w:p>
    <w:p w:rsidR="00167B92" w:rsidRDefault="00167B92" w:rsidP="009C085C">
      <w:pPr>
        <w:tabs>
          <w:tab w:val="left" w:pos="975"/>
        </w:tabs>
        <w:ind w:firstLine="709"/>
        <w:jc w:val="both"/>
        <w:rPr>
          <w:rFonts w:ascii="PT Astra Serif" w:hAnsi="PT Astra Serif"/>
          <w:sz w:val="26"/>
          <w:szCs w:val="26"/>
        </w:rPr>
      </w:pPr>
      <w:r w:rsidRPr="00167B92">
        <w:rPr>
          <w:rFonts w:ascii="PT Astra Serif" w:hAnsi="PT Astra Serif"/>
          <w:sz w:val="26"/>
          <w:szCs w:val="26"/>
        </w:rPr>
        <w:t xml:space="preserve"> – статистические данные единой межведомственной информационностатистической системы (ЕМИСС); – другие источники, распространяющие либо предоставляющие статистическую информацию. </w:t>
      </w:r>
    </w:p>
    <w:p w:rsidR="00167B92" w:rsidRDefault="00167B92" w:rsidP="009C085C">
      <w:pPr>
        <w:tabs>
          <w:tab w:val="left" w:pos="975"/>
        </w:tabs>
        <w:ind w:firstLine="709"/>
        <w:jc w:val="both"/>
        <w:rPr>
          <w:rFonts w:ascii="PT Astra Serif" w:hAnsi="PT Astra Serif"/>
          <w:sz w:val="26"/>
          <w:szCs w:val="26"/>
        </w:rPr>
      </w:pPr>
      <w:r w:rsidRPr="00167B92">
        <w:rPr>
          <w:rFonts w:ascii="PT Astra Serif" w:hAnsi="PT Astra Serif"/>
          <w:sz w:val="26"/>
          <w:szCs w:val="26"/>
        </w:rPr>
        <w:t>Принимая во внимание, что поставка моторного топлива посредством отгрузки из топливозаправщика поставщика в емкость заказчика относится к розничной реализации (без дальнейшей перепродажи заказчиком), заказчику при формировании НМЦК, Цены контракта, Начальной цены в данном случае следует руков</w:t>
      </w:r>
      <w:r>
        <w:rPr>
          <w:rFonts w:ascii="PT Astra Serif" w:hAnsi="PT Astra Serif"/>
          <w:sz w:val="26"/>
          <w:szCs w:val="26"/>
        </w:rPr>
        <w:t>одствоваться пунктом 6 Порядка.</w:t>
      </w:r>
    </w:p>
    <w:p w:rsidR="00167B92" w:rsidRDefault="00167B92" w:rsidP="009C085C">
      <w:pPr>
        <w:tabs>
          <w:tab w:val="left" w:pos="975"/>
        </w:tabs>
        <w:ind w:firstLine="709"/>
        <w:jc w:val="both"/>
        <w:rPr>
          <w:rFonts w:ascii="PT Astra Serif" w:hAnsi="PT Astra Serif"/>
          <w:sz w:val="26"/>
          <w:szCs w:val="26"/>
        </w:rPr>
      </w:pPr>
      <w:r w:rsidRPr="00167B92">
        <w:rPr>
          <w:rFonts w:ascii="PT Astra Serif" w:hAnsi="PT Astra Serif"/>
          <w:sz w:val="26"/>
          <w:szCs w:val="26"/>
        </w:rPr>
        <w:t xml:space="preserve">Также следует отметить, что при формировании Цены контракта, НМЦК и Начальной цены могут учитываться коэффициенты и показатели, установленные пунктами 7 и 8 Порядка, а именно, коэффициент стоимости отвлечения денежных средств при предоставлении отсрочки платежа в размере текущей ставки рефинансирования Банка России и коэффициент перехода на сезонный вид продукции , рассчитанный на основании статистических данных аналогичного периода поставки (месяца) предыдущего года, индекс потребительских цен (при определении цены на дату поставки товара), условия поставки товара, в том числе сроки и объем поставки, наличие авансирования, порядок расчета за поставленное моторное топливо. </w:t>
      </w:r>
    </w:p>
    <w:p w:rsidR="00167B92" w:rsidRDefault="00167B92" w:rsidP="009C085C">
      <w:pPr>
        <w:tabs>
          <w:tab w:val="left" w:pos="975"/>
        </w:tabs>
        <w:ind w:firstLine="709"/>
        <w:jc w:val="both"/>
        <w:rPr>
          <w:rFonts w:ascii="PT Astra Serif" w:hAnsi="PT Astra Serif"/>
          <w:sz w:val="26"/>
          <w:szCs w:val="26"/>
        </w:rPr>
      </w:pPr>
      <w:r>
        <w:rPr>
          <w:rFonts w:ascii="PT Astra Serif" w:hAnsi="PT Astra Serif"/>
          <w:sz w:val="26"/>
          <w:szCs w:val="26"/>
        </w:rPr>
        <w:t>У</w:t>
      </w:r>
      <w:r w:rsidRPr="00167B92">
        <w:rPr>
          <w:rFonts w:ascii="PT Astra Serif" w:hAnsi="PT Astra Serif"/>
          <w:sz w:val="26"/>
          <w:szCs w:val="26"/>
        </w:rPr>
        <w:t xml:space="preserve">казанные дополнительные коэффициенты и показатели рассчитываются и обосновываются заказчиком самостоятельно. </w:t>
      </w:r>
    </w:p>
    <w:p w:rsidR="00167B92" w:rsidRDefault="00167B92" w:rsidP="009C085C">
      <w:pPr>
        <w:tabs>
          <w:tab w:val="left" w:pos="975"/>
        </w:tabs>
        <w:ind w:firstLine="709"/>
        <w:jc w:val="both"/>
        <w:rPr>
          <w:rFonts w:ascii="PT Astra Serif" w:hAnsi="PT Astra Serif"/>
          <w:sz w:val="26"/>
          <w:szCs w:val="26"/>
        </w:rPr>
      </w:pPr>
      <w:r w:rsidRPr="00167B92">
        <w:rPr>
          <w:rFonts w:ascii="PT Astra Serif" w:hAnsi="PT Astra Serif"/>
          <w:sz w:val="26"/>
          <w:szCs w:val="26"/>
        </w:rPr>
        <w:t xml:space="preserve">Также считаем необходимым сообщить, что при возникновении случаев, не урегулированных Порядком, участникам закупок следует руководствоваться положениями </w:t>
      </w:r>
      <w:r>
        <w:rPr>
          <w:rFonts w:ascii="PT Astra Serif" w:hAnsi="PT Astra Serif"/>
          <w:sz w:val="26"/>
          <w:szCs w:val="26"/>
        </w:rPr>
        <w:t>Закона № 44-ФЗ.</w:t>
      </w:r>
    </w:p>
    <w:p w:rsidR="00167B92" w:rsidRDefault="00167B92" w:rsidP="009C085C">
      <w:pPr>
        <w:tabs>
          <w:tab w:val="left" w:pos="975"/>
        </w:tabs>
        <w:ind w:firstLine="709"/>
        <w:jc w:val="both"/>
        <w:rPr>
          <w:rFonts w:ascii="PT Astra Serif" w:hAnsi="PT Astra Serif"/>
          <w:sz w:val="26"/>
          <w:szCs w:val="26"/>
        </w:rPr>
      </w:pPr>
    </w:p>
    <w:p w:rsidR="00167B92" w:rsidRDefault="00167B92" w:rsidP="009C085C">
      <w:pPr>
        <w:tabs>
          <w:tab w:val="left" w:pos="975"/>
        </w:tabs>
        <w:ind w:firstLine="709"/>
        <w:jc w:val="both"/>
        <w:rPr>
          <w:rFonts w:ascii="PT Astra Serif" w:hAnsi="PT Astra Serif"/>
          <w:i/>
          <w:sz w:val="26"/>
          <w:szCs w:val="26"/>
        </w:rPr>
      </w:pPr>
      <w:r w:rsidRPr="00405BE3">
        <w:rPr>
          <w:rFonts w:ascii="PT Astra Serif" w:hAnsi="PT Astra Serif"/>
          <w:i/>
          <w:sz w:val="26"/>
          <w:szCs w:val="26"/>
        </w:rPr>
        <w:t xml:space="preserve">  Письмо Минфина России от 17.03.2025 № 24-06-06/25869</w:t>
      </w:r>
      <w:r w:rsidR="00405BE3" w:rsidRPr="00405BE3">
        <w:rPr>
          <w:rFonts w:ascii="PT Astra Serif" w:hAnsi="PT Astra Serif"/>
          <w:i/>
          <w:sz w:val="26"/>
          <w:szCs w:val="26"/>
        </w:rPr>
        <w:t xml:space="preserve"> «О рассмотрении обращения»</w:t>
      </w:r>
    </w:p>
    <w:p w:rsidR="00405BE3" w:rsidRDefault="00405BE3" w:rsidP="009C085C">
      <w:pPr>
        <w:tabs>
          <w:tab w:val="left" w:pos="975"/>
        </w:tabs>
        <w:ind w:firstLine="709"/>
        <w:jc w:val="both"/>
        <w:rPr>
          <w:rFonts w:ascii="PT Astra Serif" w:hAnsi="PT Astra Serif"/>
          <w:sz w:val="26"/>
          <w:szCs w:val="26"/>
        </w:rPr>
      </w:pPr>
      <w:r w:rsidRPr="00405BE3">
        <w:rPr>
          <w:rFonts w:ascii="PT Astra Serif" w:hAnsi="PT Astra Serif"/>
          <w:sz w:val="26"/>
          <w:szCs w:val="26"/>
        </w:rPr>
        <w:t>Минфин России разъяснил отдельные вопросы применения национального режима.</w:t>
      </w:r>
    </w:p>
    <w:p w:rsidR="00405BE3" w:rsidRDefault="00405BE3" w:rsidP="00405BE3">
      <w:pPr>
        <w:tabs>
          <w:tab w:val="left" w:pos="975"/>
          <w:tab w:val="left" w:pos="2552"/>
        </w:tabs>
        <w:ind w:firstLine="709"/>
        <w:jc w:val="both"/>
        <w:rPr>
          <w:rFonts w:ascii="PT Astra Serif" w:hAnsi="PT Astra Serif"/>
          <w:sz w:val="26"/>
          <w:szCs w:val="26"/>
        </w:rPr>
      </w:pPr>
      <w:r w:rsidRPr="00405BE3">
        <w:rPr>
          <w:rFonts w:ascii="PT Astra Serif" w:hAnsi="PT Astra Serif"/>
          <w:sz w:val="26"/>
          <w:szCs w:val="26"/>
        </w:rPr>
        <w:t xml:space="preserve">По вопросу 1. </w:t>
      </w:r>
    </w:p>
    <w:p w:rsidR="00405BE3" w:rsidRDefault="00405BE3" w:rsidP="00405BE3">
      <w:pPr>
        <w:tabs>
          <w:tab w:val="left" w:pos="975"/>
          <w:tab w:val="left" w:pos="2552"/>
        </w:tabs>
        <w:ind w:firstLine="709"/>
        <w:jc w:val="both"/>
        <w:rPr>
          <w:rFonts w:ascii="PT Astra Serif" w:hAnsi="PT Astra Serif"/>
          <w:sz w:val="26"/>
          <w:szCs w:val="26"/>
        </w:rPr>
      </w:pPr>
      <w:r w:rsidRPr="00405BE3">
        <w:rPr>
          <w:rFonts w:ascii="PT Astra Serif" w:hAnsi="PT Astra Serif"/>
          <w:sz w:val="26"/>
          <w:szCs w:val="26"/>
        </w:rPr>
        <w:t xml:space="preserve">Подпунктом </w:t>
      </w:r>
      <w:r>
        <w:rPr>
          <w:rFonts w:ascii="PT Astra Serif" w:hAnsi="PT Astra Serif"/>
          <w:sz w:val="26"/>
          <w:szCs w:val="26"/>
        </w:rPr>
        <w:t>«</w:t>
      </w:r>
      <w:r w:rsidRPr="00405BE3">
        <w:rPr>
          <w:rFonts w:ascii="PT Astra Serif" w:hAnsi="PT Astra Serif"/>
          <w:sz w:val="26"/>
          <w:szCs w:val="26"/>
        </w:rPr>
        <w:t>и</w:t>
      </w:r>
      <w:r>
        <w:rPr>
          <w:rFonts w:ascii="PT Astra Serif" w:hAnsi="PT Astra Serif"/>
          <w:sz w:val="26"/>
          <w:szCs w:val="26"/>
        </w:rPr>
        <w:t>»</w:t>
      </w:r>
      <w:r w:rsidRPr="00405BE3">
        <w:rPr>
          <w:rFonts w:ascii="PT Astra Serif" w:hAnsi="PT Astra Serif"/>
          <w:sz w:val="26"/>
          <w:szCs w:val="26"/>
        </w:rPr>
        <w:t xml:space="preserve"> пункта 5 Постановления № 1875 установлено, что запрет, предусмотренный пунктом 1, подпунктом </w:t>
      </w:r>
      <w:r>
        <w:rPr>
          <w:rFonts w:ascii="PT Astra Serif" w:hAnsi="PT Astra Serif"/>
          <w:sz w:val="26"/>
          <w:szCs w:val="26"/>
        </w:rPr>
        <w:t>«</w:t>
      </w:r>
      <w:r w:rsidRPr="00405BE3">
        <w:rPr>
          <w:rFonts w:ascii="PT Astra Serif" w:hAnsi="PT Astra Serif"/>
          <w:sz w:val="26"/>
          <w:szCs w:val="26"/>
        </w:rPr>
        <w:t>ж</w:t>
      </w:r>
      <w:r>
        <w:rPr>
          <w:rFonts w:ascii="PT Astra Serif" w:hAnsi="PT Astra Serif"/>
          <w:sz w:val="26"/>
          <w:szCs w:val="26"/>
        </w:rPr>
        <w:t>»</w:t>
      </w:r>
      <w:r w:rsidRPr="00405BE3">
        <w:rPr>
          <w:rFonts w:ascii="PT Astra Serif" w:hAnsi="PT Astra Serif"/>
          <w:sz w:val="26"/>
          <w:szCs w:val="26"/>
        </w:rPr>
        <w:t xml:space="preserve"> пункта 4 Постановления № 1875, может не применяться заказчиками в случае осуществления закупки товаров, не относящихся к товарам и программному обеспечению, указанным в позициях 17, 27, 35, 53, 140, 141, 144 и 146 приложения № 1 к Постановлению № 1875, при которой начальная (максимальная) цена контракта (начальная (максимальная) цена договора) или цена контракта, заключаемого с единственным поставщиком (подрядчиком, исполнителем) (цена, заключаемого с единственным поставщиком (исполнителем, подрядчиком) договора), не превышает 1 млн. рублей и при этом ни одна из использованных при определении таких цен цена единицы товара не превышает 300 тыс. рублей. </w:t>
      </w:r>
    </w:p>
    <w:p w:rsidR="00405BE3" w:rsidRDefault="00405BE3" w:rsidP="00405BE3">
      <w:pPr>
        <w:tabs>
          <w:tab w:val="left" w:pos="975"/>
          <w:tab w:val="left" w:pos="2552"/>
        </w:tabs>
        <w:ind w:firstLine="709"/>
        <w:jc w:val="both"/>
        <w:rPr>
          <w:rFonts w:ascii="PT Astra Serif" w:hAnsi="PT Astra Serif"/>
          <w:sz w:val="26"/>
          <w:szCs w:val="26"/>
        </w:rPr>
      </w:pPr>
      <w:r w:rsidRPr="00405BE3">
        <w:rPr>
          <w:rFonts w:ascii="PT Astra Serif" w:hAnsi="PT Astra Serif"/>
          <w:sz w:val="26"/>
          <w:szCs w:val="26"/>
        </w:rPr>
        <w:lastRenderedPageBreak/>
        <w:t xml:space="preserve">Таким образом, положения подпункта </w:t>
      </w:r>
      <w:r>
        <w:rPr>
          <w:rFonts w:ascii="PT Astra Serif" w:hAnsi="PT Astra Serif"/>
          <w:sz w:val="26"/>
          <w:szCs w:val="26"/>
        </w:rPr>
        <w:t>«</w:t>
      </w:r>
      <w:r w:rsidRPr="00405BE3">
        <w:rPr>
          <w:rFonts w:ascii="PT Astra Serif" w:hAnsi="PT Astra Serif"/>
          <w:sz w:val="26"/>
          <w:szCs w:val="26"/>
        </w:rPr>
        <w:t>и</w:t>
      </w:r>
      <w:r>
        <w:rPr>
          <w:rFonts w:ascii="PT Astra Serif" w:hAnsi="PT Astra Serif"/>
          <w:sz w:val="26"/>
          <w:szCs w:val="26"/>
        </w:rPr>
        <w:t>»</w:t>
      </w:r>
      <w:r w:rsidRPr="00405BE3">
        <w:rPr>
          <w:rFonts w:ascii="PT Astra Serif" w:hAnsi="PT Astra Serif"/>
          <w:sz w:val="26"/>
          <w:szCs w:val="26"/>
        </w:rPr>
        <w:t xml:space="preserve"> пункта 5 Постановления № 1875, касающиеся 300 тыс. рублей, применяются в отношении цены единицы товара, использованной для определения начальной (максимальной) цены контракта или цены контракта, заключаемого с единственным поставщиком (подрядчиком, исполнителем) (далее - НМЦК). Требования к ценам, используемым, в свою очередь, для определения цены такой единицы товара, подпунктом </w:t>
      </w:r>
      <w:r>
        <w:rPr>
          <w:rFonts w:ascii="PT Astra Serif" w:hAnsi="PT Astra Serif"/>
          <w:sz w:val="26"/>
          <w:szCs w:val="26"/>
        </w:rPr>
        <w:t>«</w:t>
      </w:r>
      <w:r w:rsidRPr="00405BE3">
        <w:rPr>
          <w:rFonts w:ascii="PT Astra Serif" w:hAnsi="PT Astra Serif"/>
          <w:sz w:val="26"/>
          <w:szCs w:val="26"/>
        </w:rPr>
        <w:t>и</w:t>
      </w:r>
      <w:r>
        <w:rPr>
          <w:rFonts w:ascii="PT Astra Serif" w:hAnsi="PT Astra Serif"/>
          <w:sz w:val="26"/>
          <w:szCs w:val="26"/>
        </w:rPr>
        <w:t>»</w:t>
      </w:r>
      <w:r w:rsidRPr="00405BE3">
        <w:rPr>
          <w:rFonts w:ascii="PT Astra Serif" w:hAnsi="PT Astra Serif"/>
          <w:sz w:val="26"/>
          <w:szCs w:val="26"/>
        </w:rPr>
        <w:t xml:space="preserve"> пункта 5 Постано</w:t>
      </w:r>
      <w:r>
        <w:rPr>
          <w:rFonts w:ascii="PT Astra Serif" w:hAnsi="PT Astra Serif"/>
          <w:sz w:val="26"/>
          <w:szCs w:val="26"/>
        </w:rPr>
        <w:t>вления № 1875 не предъявляются.</w:t>
      </w:r>
    </w:p>
    <w:p w:rsidR="00405BE3" w:rsidRDefault="00405BE3" w:rsidP="00405BE3">
      <w:pPr>
        <w:tabs>
          <w:tab w:val="left" w:pos="975"/>
          <w:tab w:val="left" w:pos="2552"/>
        </w:tabs>
        <w:ind w:firstLine="709"/>
        <w:jc w:val="both"/>
        <w:rPr>
          <w:rFonts w:ascii="PT Astra Serif" w:hAnsi="PT Astra Serif"/>
          <w:sz w:val="26"/>
          <w:szCs w:val="26"/>
        </w:rPr>
      </w:pPr>
      <w:r w:rsidRPr="00405BE3">
        <w:rPr>
          <w:rFonts w:ascii="PT Astra Serif" w:hAnsi="PT Astra Serif"/>
          <w:sz w:val="26"/>
          <w:szCs w:val="26"/>
        </w:rPr>
        <w:t>По вопросу 2.</w:t>
      </w:r>
    </w:p>
    <w:p w:rsidR="00405BE3" w:rsidRDefault="00405BE3" w:rsidP="00405BE3">
      <w:pPr>
        <w:tabs>
          <w:tab w:val="left" w:pos="975"/>
          <w:tab w:val="left" w:pos="2552"/>
        </w:tabs>
        <w:ind w:firstLine="709"/>
        <w:jc w:val="both"/>
        <w:rPr>
          <w:rFonts w:ascii="PT Astra Serif" w:hAnsi="PT Astra Serif"/>
          <w:sz w:val="26"/>
          <w:szCs w:val="26"/>
        </w:rPr>
      </w:pPr>
      <w:r w:rsidRPr="00405BE3">
        <w:rPr>
          <w:rFonts w:ascii="PT Astra Serif" w:hAnsi="PT Astra Serif"/>
          <w:sz w:val="26"/>
          <w:szCs w:val="26"/>
        </w:rPr>
        <w:t xml:space="preserve"> В соответствии с пунктами 5 и 6 Постановления № 1875 запрет и ограничение, предусмотренные указанным постановлением, могут не применяться заказчиками при наступлении одного из случаев, указанных в данных пунктах соответственно. При этом в указанных случаях неприменение запрета, ограничения является правом заказчика, которое может быть им реализовано при необходимости. </w:t>
      </w:r>
    </w:p>
    <w:p w:rsidR="00405BE3" w:rsidRDefault="00405BE3" w:rsidP="00405BE3">
      <w:pPr>
        <w:tabs>
          <w:tab w:val="left" w:pos="975"/>
          <w:tab w:val="left" w:pos="2552"/>
        </w:tabs>
        <w:ind w:firstLine="709"/>
        <w:jc w:val="both"/>
        <w:rPr>
          <w:rFonts w:ascii="PT Astra Serif" w:hAnsi="PT Astra Serif"/>
          <w:sz w:val="26"/>
          <w:szCs w:val="26"/>
        </w:rPr>
      </w:pPr>
      <w:r w:rsidRPr="00405BE3">
        <w:rPr>
          <w:rFonts w:ascii="PT Astra Serif" w:hAnsi="PT Astra Serif"/>
          <w:sz w:val="26"/>
          <w:szCs w:val="26"/>
        </w:rPr>
        <w:t xml:space="preserve">Позиция </w:t>
      </w:r>
      <w:r>
        <w:rPr>
          <w:rFonts w:ascii="PT Astra Serif" w:hAnsi="PT Astra Serif"/>
          <w:sz w:val="26"/>
          <w:szCs w:val="26"/>
        </w:rPr>
        <w:t>Минфина России</w:t>
      </w:r>
      <w:r w:rsidRPr="00405BE3">
        <w:rPr>
          <w:rFonts w:ascii="PT Astra Serif" w:hAnsi="PT Astra Serif"/>
          <w:sz w:val="26"/>
          <w:szCs w:val="26"/>
        </w:rPr>
        <w:t xml:space="preserve"> по вопросу предоставления информации и документов, подтверждающих страну происхождения товара для целей Постановления № 1875, изложена в пункте 7 письма Минфина России от 31.01.2025 № 24-01-06/8697, размещенного на официальном сайте Минфина России по адресу: https://minfin.gov.ru/ru/document?id_4=311123 (далее - Письмо). </w:t>
      </w:r>
    </w:p>
    <w:p w:rsidR="00405BE3" w:rsidRDefault="00405BE3" w:rsidP="00405BE3">
      <w:pPr>
        <w:tabs>
          <w:tab w:val="left" w:pos="975"/>
          <w:tab w:val="left" w:pos="2552"/>
        </w:tabs>
        <w:ind w:firstLine="709"/>
        <w:jc w:val="both"/>
        <w:rPr>
          <w:rFonts w:ascii="PT Astra Serif" w:hAnsi="PT Astra Serif"/>
          <w:sz w:val="26"/>
          <w:szCs w:val="26"/>
        </w:rPr>
      </w:pPr>
      <w:r w:rsidRPr="00405BE3">
        <w:rPr>
          <w:rFonts w:ascii="PT Astra Serif" w:hAnsi="PT Astra Serif"/>
          <w:sz w:val="26"/>
          <w:szCs w:val="26"/>
        </w:rPr>
        <w:t>По вопросу 3.</w:t>
      </w:r>
    </w:p>
    <w:p w:rsidR="00405BE3" w:rsidRDefault="00405BE3" w:rsidP="00405BE3">
      <w:pPr>
        <w:tabs>
          <w:tab w:val="left" w:pos="975"/>
          <w:tab w:val="left" w:pos="2552"/>
        </w:tabs>
        <w:ind w:firstLine="709"/>
        <w:jc w:val="both"/>
        <w:rPr>
          <w:rFonts w:ascii="PT Astra Serif" w:hAnsi="PT Astra Serif"/>
          <w:sz w:val="26"/>
          <w:szCs w:val="26"/>
        </w:rPr>
      </w:pPr>
      <w:r w:rsidRPr="00405BE3">
        <w:rPr>
          <w:rFonts w:ascii="PT Astra Serif" w:hAnsi="PT Astra Serif"/>
          <w:sz w:val="26"/>
          <w:szCs w:val="26"/>
        </w:rPr>
        <w:t xml:space="preserve"> Согласно части 25 статьи 22 Закон</w:t>
      </w:r>
      <w:r>
        <w:rPr>
          <w:rFonts w:ascii="PT Astra Serif" w:hAnsi="PT Astra Serif"/>
          <w:sz w:val="26"/>
          <w:szCs w:val="26"/>
        </w:rPr>
        <w:t>а</w:t>
      </w:r>
      <w:r w:rsidRPr="00405BE3">
        <w:rPr>
          <w:rFonts w:ascii="PT Astra Serif" w:hAnsi="PT Astra Serif"/>
          <w:sz w:val="26"/>
          <w:szCs w:val="26"/>
        </w:rPr>
        <w:t xml:space="preserve"> № 44-ФЗ для целей осуществления закупок товаров, работ, услуг, в отношении которых установлены предусмотренные пунктом 1 части 2 статьи 14 Закона № 44-ФЗ запрет, ограничение или преимущество, Постановлением </w:t>
      </w:r>
      <w:r>
        <w:rPr>
          <w:rFonts w:ascii="PT Astra Serif" w:hAnsi="PT Astra Serif"/>
          <w:sz w:val="26"/>
          <w:szCs w:val="26"/>
        </w:rPr>
        <w:br/>
      </w:r>
      <w:r w:rsidRPr="00405BE3">
        <w:rPr>
          <w:rFonts w:ascii="PT Astra Serif" w:hAnsi="PT Astra Serif"/>
          <w:sz w:val="26"/>
          <w:szCs w:val="26"/>
        </w:rPr>
        <w:t xml:space="preserve">№ 1875 установлены особенности определения НМЦК, начальной цены единицы товара, в том числе товаров, поставляемых при выполнении закупаемых работ, оказании закупаемых услуг, начальной цены единицы работы, услуги на основе функциональных, технических и качественных характеристик, эксплуатационных характеристик товаров российского происхождения, работ, услуг, соответственно выполняемых, оказываемых российскими лицами (далее - особенности определения цен). </w:t>
      </w:r>
    </w:p>
    <w:p w:rsidR="00405BE3" w:rsidRDefault="00405BE3" w:rsidP="00405BE3">
      <w:pPr>
        <w:tabs>
          <w:tab w:val="left" w:pos="975"/>
          <w:tab w:val="left" w:pos="2552"/>
        </w:tabs>
        <w:ind w:firstLine="709"/>
        <w:jc w:val="both"/>
        <w:rPr>
          <w:rFonts w:ascii="PT Astra Serif" w:hAnsi="PT Astra Serif"/>
          <w:sz w:val="26"/>
          <w:szCs w:val="26"/>
        </w:rPr>
      </w:pPr>
      <w:r w:rsidRPr="00405BE3">
        <w:rPr>
          <w:rFonts w:ascii="PT Astra Serif" w:hAnsi="PT Astra Serif"/>
          <w:sz w:val="26"/>
          <w:szCs w:val="26"/>
        </w:rPr>
        <w:t xml:space="preserve">Так, абзацем третьим подпункта </w:t>
      </w:r>
      <w:r>
        <w:rPr>
          <w:rFonts w:ascii="PT Astra Serif" w:hAnsi="PT Astra Serif"/>
          <w:sz w:val="26"/>
          <w:szCs w:val="26"/>
        </w:rPr>
        <w:t>«</w:t>
      </w:r>
      <w:r w:rsidRPr="00405BE3">
        <w:rPr>
          <w:rFonts w:ascii="PT Astra Serif" w:hAnsi="PT Astra Serif"/>
          <w:sz w:val="26"/>
          <w:szCs w:val="26"/>
        </w:rPr>
        <w:t>в</w:t>
      </w:r>
      <w:r>
        <w:rPr>
          <w:rFonts w:ascii="PT Astra Serif" w:hAnsi="PT Astra Serif"/>
          <w:sz w:val="26"/>
          <w:szCs w:val="26"/>
        </w:rPr>
        <w:t>»</w:t>
      </w:r>
      <w:r w:rsidRPr="00405BE3">
        <w:rPr>
          <w:rFonts w:ascii="PT Astra Serif" w:hAnsi="PT Astra Serif"/>
          <w:sz w:val="26"/>
          <w:szCs w:val="26"/>
        </w:rPr>
        <w:t xml:space="preserve"> пункта 7 Постановления № 1875 установлено, что при применении метода сопоставимых рыночных цен (анализа рынка) заказчик направляет предусмотренный частью 5 статьи 22 Закона № 44-ФЗ запрос о предоставлении информации о цене товаров, указанных в позициях 1 - 145 приложения № 1 к Постановлению № 1875, позициях 1 - 432 приложения № 2 к Постановлению № 1875, субъектам деятельности в сфере промышленности, информация о которых включена в государственную информационную систему промышленности. Если в этой системе содержится информация менее чем о 3 субъектах деятельности в сфере промышленности, осуществляющих производство включенного в объект закупки товара из числа указанных товаров, заказчик также направляет такой запрос поставщикам, которые осуществляют поставку происходящих из государств - членов Евразийского экономического союза товаров, идентичных товарам, планируемым к закупкам (при их отсутствии - однородных товаров), и информация о которых и о поставленных ими товарах содержится на официальном сайте единой информационной системы в сфере закупок в реестре контрактов, заключенных заказчиками. </w:t>
      </w:r>
    </w:p>
    <w:p w:rsidR="00405BE3" w:rsidRDefault="00405BE3" w:rsidP="00405BE3">
      <w:pPr>
        <w:tabs>
          <w:tab w:val="left" w:pos="975"/>
          <w:tab w:val="left" w:pos="2552"/>
        </w:tabs>
        <w:ind w:firstLine="709"/>
        <w:jc w:val="both"/>
        <w:rPr>
          <w:rFonts w:ascii="PT Astra Serif" w:hAnsi="PT Astra Serif"/>
          <w:sz w:val="26"/>
          <w:szCs w:val="26"/>
        </w:rPr>
      </w:pPr>
      <w:r w:rsidRPr="00405BE3">
        <w:rPr>
          <w:rFonts w:ascii="PT Astra Serif" w:hAnsi="PT Astra Serif"/>
          <w:sz w:val="26"/>
          <w:szCs w:val="26"/>
        </w:rPr>
        <w:t>При этом</w:t>
      </w:r>
      <w:r>
        <w:rPr>
          <w:rFonts w:ascii="PT Astra Serif" w:hAnsi="PT Astra Serif"/>
          <w:sz w:val="26"/>
          <w:szCs w:val="26"/>
        </w:rPr>
        <w:t xml:space="preserve"> </w:t>
      </w:r>
      <w:r w:rsidRPr="00405BE3">
        <w:rPr>
          <w:rFonts w:ascii="PT Astra Serif" w:hAnsi="PT Astra Serif"/>
          <w:sz w:val="26"/>
          <w:szCs w:val="26"/>
        </w:rPr>
        <w:t xml:space="preserve">указанные запросы необходимо направлять субъектам деятельности в сфере промышленности, информация о которых включена в государственную информационную систему промышленности, только в отношении тех товаров, поставку которых такой субъект осуществляет. </w:t>
      </w:r>
    </w:p>
    <w:p w:rsidR="00405BE3" w:rsidRDefault="00405BE3" w:rsidP="00405BE3">
      <w:pPr>
        <w:tabs>
          <w:tab w:val="left" w:pos="975"/>
          <w:tab w:val="left" w:pos="2552"/>
        </w:tabs>
        <w:ind w:firstLine="709"/>
        <w:jc w:val="both"/>
        <w:rPr>
          <w:rFonts w:ascii="PT Astra Serif" w:hAnsi="PT Astra Serif"/>
          <w:sz w:val="26"/>
          <w:szCs w:val="26"/>
        </w:rPr>
      </w:pPr>
      <w:r w:rsidRPr="00405BE3">
        <w:rPr>
          <w:rFonts w:ascii="PT Astra Serif" w:hAnsi="PT Astra Serif"/>
          <w:sz w:val="26"/>
          <w:szCs w:val="26"/>
        </w:rPr>
        <w:t xml:space="preserve">Полученные в ответ на запросы о предоставлении информации о цене товаров коммерческие предложения потенциальных поставщиков (подрядчиков, исполнителей) </w:t>
      </w:r>
      <w:r w:rsidRPr="00405BE3">
        <w:rPr>
          <w:rFonts w:ascii="PT Astra Serif" w:hAnsi="PT Astra Serif"/>
          <w:sz w:val="26"/>
          <w:szCs w:val="26"/>
        </w:rPr>
        <w:lastRenderedPageBreak/>
        <w:t xml:space="preserve">рассматриваются заказчиками при определении и обосновании НМЦК методом сопоставимых рыночных цен (анализа рынка). </w:t>
      </w:r>
    </w:p>
    <w:p w:rsidR="00405BE3" w:rsidRDefault="00405BE3" w:rsidP="00405BE3">
      <w:pPr>
        <w:tabs>
          <w:tab w:val="left" w:pos="975"/>
          <w:tab w:val="left" w:pos="2552"/>
        </w:tabs>
        <w:ind w:firstLine="709"/>
        <w:jc w:val="both"/>
        <w:rPr>
          <w:rFonts w:ascii="PT Astra Serif" w:hAnsi="PT Astra Serif"/>
          <w:sz w:val="26"/>
          <w:szCs w:val="26"/>
        </w:rPr>
      </w:pPr>
      <w:r w:rsidRPr="00405BE3">
        <w:rPr>
          <w:rFonts w:ascii="PT Astra Serif" w:hAnsi="PT Astra Serif"/>
          <w:sz w:val="26"/>
          <w:szCs w:val="26"/>
        </w:rPr>
        <w:t xml:space="preserve">Учитывая изложенное, в случае, указанном в обращении, заказчик определяет и обосновывает НМЦК в соответствии с положениями статьи 22 Закона № 44-ФЗ и с учетом особенностей определения цен, установленных Постановлением № 1875. </w:t>
      </w:r>
    </w:p>
    <w:p w:rsidR="00405BE3" w:rsidRDefault="00405BE3" w:rsidP="00405BE3">
      <w:pPr>
        <w:tabs>
          <w:tab w:val="left" w:pos="975"/>
          <w:tab w:val="left" w:pos="2552"/>
        </w:tabs>
        <w:ind w:firstLine="709"/>
        <w:jc w:val="both"/>
        <w:rPr>
          <w:rFonts w:ascii="PT Astra Serif" w:hAnsi="PT Astra Serif"/>
          <w:sz w:val="26"/>
          <w:szCs w:val="26"/>
        </w:rPr>
      </w:pPr>
      <w:r w:rsidRPr="00405BE3">
        <w:rPr>
          <w:rFonts w:ascii="PT Astra Serif" w:hAnsi="PT Astra Serif"/>
          <w:sz w:val="26"/>
          <w:szCs w:val="26"/>
        </w:rPr>
        <w:t>По вопросу 4.</w:t>
      </w:r>
    </w:p>
    <w:p w:rsidR="00405BE3" w:rsidRDefault="00405BE3" w:rsidP="00405BE3">
      <w:pPr>
        <w:tabs>
          <w:tab w:val="left" w:pos="975"/>
          <w:tab w:val="left" w:pos="2552"/>
        </w:tabs>
        <w:ind w:firstLine="709"/>
        <w:jc w:val="both"/>
        <w:rPr>
          <w:rFonts w:ascii="PT Astra Serif" w:hAnsi="PT Astra Serif"/>
          <w:sz w:val="26"/>
          <w:szCs w:val="26"/>
        </w:rPr>
      </w:pPr>
      <w:r w:rsidRPr="00405BE3">
        <w:rPr>
          <w:rFonts w:ascii="PT Astra Serif" w:hAnsi="PT Astra Serif"/>
          <w:sz w:val="26"/>
          <w:szCs w:val="26"/>
        </w:rPr>
        <w:t xml:space="preserve">Согласно части 11 статьи 33 Закона № 44-ФЗ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4 предусмотренные пунктом 1 части 2 статьи 14 Закона № 44-ФЗ запрет, ограничение или преимущество, указываются характеристики товара российского происхождения. </w:t>
      </w:r>
    </w:p>
    <w:p w:rsidR="00405BE3" w:rsidRDefault="00405BE3" w:rsidP="00405BE3">
      <w:pPr>
        <w:tabs>
          <w:tab w:val="left" w:pos="975"/>
          <w:tab w:val="left" w:pos="2552"/>
        </w:tabs>
        <w:ind w:firstLine="709"/>
        <w:jc w:val="both"/>
        <w:rPr>
          <w:rFonts w:ascii="PT Astra Serif" w:hAnsi="PT Astra Serif"/>
          <w:sz w:val="26"/>
          <w:szCs w:val="26"/>
        </w:rPr>
      </w:pPr>
      <w:r w:rsidRPr="00405BE3">
        <w:rPr>
          <w:rFonts w:ascii="PT Astra Serif" w:hAnsi="PT Astra Serif"/>
          <w:sz w:val="26"/>
          <w:szCs w:val="26"/>
        </w:rPr>
        <w:t xml:space="preserve">Положениями части 1 статьи 14 Закона № 44-ФЗ установлено, что если иное не предусмотрено мерами, принятыми Правительством Российской Федерации в соответствии с пунктом 1 части 2 указанной статьи, положения данной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 </w:t>
      </w:r>
    </w:p>
    <w:p w:rsidR="00405BE3" w:rsidRDefault="00405BE3" w:rsidP="00405BE3">
      <w:pPr>
        <w:tabs>
          <w:tab w:val="left" w:pos="975"/>
          <w:tab w:val="left" w:pos="2552"/>
        </w:tabs>
        <w:ind w:firstLine="709"/>
        <w:jc w:val="both"/>
        <w:rPr>
          <w:rFonts w:ascii="PT Astra Serif" w:hAnsi="PT Astra Serif"/>
          <w:sz w:val="26"/>
          <w:szCs w:val="26"/>
        </w:rPr>
      </w:pPr>
      <w:r w:rsidRPr="00405BE3">
        <w:rPr>
          <w:rFonts w:ascii="PT Astra Serif" w:hAnsi="PT Astra Serif"/>
          <w:sz w:val="26"/>
          <w:szCs w:val="26"/>
        </w:rPr>
        <w:t>Учитывая изложенное, в части 1</w:t>
      </w:r>
      <w:r w:rsidRPr="00405BE3">
        <w:rPr>
          <w:rFonts w:ascii="PT Astra Serif" w:hAnsi="PT Astra Serif"/>
          <w:sz w:val="26"/>
          <w:szCs w:val="26"/>
          <w:vertAlign w:val="superscript"/>
        </w:rPr>
        <w:t>1</w:t>
      </w:r>
      <w:r w:rsidRPr="00405BE3">
        <w:rPr>
          <w:rFonts w:ascii="PT Astra Serif" w:hAnsi="PT Astra Serif"/>
          <w:sz w:val="26"/>
          <w:szCs w:val="26"/>
        </w:rPr>
        <w:t xml:space="preserve"> статьи 33 Закона № 44-ФЗ содержится указание исключительно на товары российского происхождения. Положения второго предложения части 1 статьи 14 Закона № 44-ФЗ касаются исключительно положений статьи 14 Закона </w:t>
      </w:r>
      <w:r>
        <w:rPr>
          <w:rFonts w:ascii="PT Astra Serif" w:hAnsi="PT Astra Serif"/>
          <w:sz w:val="26"/>
          <w:szCs w:val="26"/>
        </w:rPr>
        <w:br/>
      </w:r>
      <w:r w:rsidRPr="00405BE3">
        <w:rPr>
          <w:rFonts w:ascii="PT Astra Serif" w:hAnsi="PT Astra Serif"/>
          <w:sz w:val="26"/>
          <w:szCs w:val="26"/>
        </w:rPr>
        <w:t>№ 44-ФЗ и, соответственно, не распространяются на поло</w:t>
      </w:r>
      <w:r>
        <w:rPr>
          <w:rFonts w:ascii="PT Astra Serif" w:hAnsi="PT Astra Serif"/>
          <w:sz w:val="26"/>
          <w:szCs w:val="26"/>
        </w:rPr>
        <w:t>жения статьи 33 Закона № 44-ФЗ.</w:t>
      </w:r>
    </w:p>
    <w:p w:rsidR="00405BE3" w:rsidRDefault="00405BE3" w:rsidP="00405BE3">
      <w:pPr>
        <w:tabs>
          <w:tab w:val="left" w:pos="975"/>
          <w:tab w:val="left" w:pos="2552"/>
        </w:tabs>
        <w:ind w:firstLine="709"/>
        <w:jc w:val="both"/>
        <w:rPr>
          <w:rFonts w:ascii="PT Astra Serif" w:hAnsi="PT Astra Serif"/>
          <w:sz w:val="26"/>
          <w:szCs w:val="26"/>
        </w:rPr>
      </w:pPr>
      <w:r w:rsidRPr="00405BE3">
        <w:rPr>
          <w:rFonts w:ascii="PT Astra Serif" w:hAnsi="PT Astra Serif"/>
          <w:sz w:val="26"/>
          <w:szCs w:val="26"/>
        </w:rPr>
        <w:t xml:space="preserve">В отношении описания товара, производство которого отсутствует на территории Российской Федерации, позиция </w:t>
      </w:r>
      <w:r>
        <w:rPr>
          <w:rFonts w:ascii="PT Astra Serif" w:hAnsi="PT Astra Serif"/>
          <w:sz w:val="26"/>
          <w:szCs w:val="26"/>
        </w:rPr>
        <w:t>Минфина России</w:t>
      </w:r>
      <w:r w:rsidRPr="00405BE3">
        <w:rPr>
          <w:rFonts w:ascii="PT Astra Serif" w:hAnsi="PT Astra Serif"/>
          <w:sz w:val="26"/>
          <w:szCs w:val="26"/>
        </w:rPr>
        <w:t xml:space="preserve"> изложена в пункте 102 Письма. Кроме того, в пунктах 4</w:t>
      </w:r>
      <w:r w:rsidRPr="00405BE3">
        <w:rPr>
          <w:rFonts w:ascii="PT Astra Serif" w:hAnsi="PT Astra Serif"/>
          <w:sz w:val="26"/>
          <w:szCs w:val="26"/>
          <w:vertAlign w:val="superscript"/>
        </w:rPr>
        <w:t>1</w:t>
      </w:r>
      <w:r w:rsidRPr="00405BE3">
        <w:rPr>
          <w:rFonts w:ascii="PT Astra Serif" w:hAnsi="PT Astra Serif"/>
          <w:sz w:val="26"/>
          <w:szCs w:val="26"/>
        </w:rPr>
        <w:t xml:space="preserve"> и 4</w:t>
      </w:r>
      <w:r w:rsidRPr="00405BE3">
        <w:rPr>
          <w:rFonts w:ascii="PT Astra Serif" w:hAnsi="PT Astra Serif"/>
          <w:sz w:val="26"/>
          <w:szCs w:val="26"/>
          <w:vertAlign w:val="superscript"/>
        </w:rPr>
        <w:t>2</w:t>
      </w:r>
      <w:r w:rsidRPr="00405BE3">
        <w:rPr>
          <w:rFonts w:ascii="PT Astra Serif" w:hAnsi="PT Astra Serif"/>
          <w:sz w:val="26"/>
          <w:szCs w:val="26"/>
        </w:rPr>
        <w:t xml:space="preserve"> Письма содержится позиция о применении запрета, ограничения, преимущества, установленных Постановлением № 1875, при осуществлении закупки у единственного поставщика (подрядчика, исполнителя).</w:t>
      </w:r>
    </w:p>
    <w:p w:rsidR="00405BE3" w:rsidRDefault="00405BE3" w:rsidP="00405BE3">
      <w:pPr>
        <w:tabs>
          <w:tab w:val="left" w:pos="975"/>
          <w:tab w:val="left" w:pos="2552"/>
        </w:tabs>
        <w:ind w:firstLine="709"/>
        <w:jc w:val="both"/>
        <w:rPr>
          <w:rFonts w:ascii="PT Astra Serif" w:hAnsi="PT Astra Serif"/>
          <w:sz w:val="26"/>
          <w:szCs w:val="26"/>
        </w:rPr>
      </w:pPr>
      <w:r w:rsidRPr="00405BE3">
        <w:rPr>
          <w:rFonts w:ascii="PT Astra Serif" w:hAnsi="PT Astra Serif"/>
          <w:sz w:val="26"/>
          <w:szCs w:val="26"/>
        </w:rPr>
        <w:t xml:space="preserve"> По вопросу 5.</w:t>
      </w:r>
    </w:p>
    <w:p w:rsidR="00405BE3" w:rsidRDefault="00405BE3" w:rsidP="00405BE3">
      <w:pPr>
        <w:tabs>
          <w:tab w:val="left" w:pos="975"/>
          <w:tab w:val="left" w:pos="2552"/>
        </w:tabs>
        <w:ind w:firstLine="709"/>
        <w:jc w:val="both"/>
        <w:rPr>
          <w:rFonts w:ascii="PT Astra Serif" w:hAnsi="PT Astra Serif"/>
          <w:sz w:val="26"/>
          <w:szCs w:val="26"/>
        </w:rPr>
      </w:pPr>
      <w:r w:rsidRPr="00405BE3">
        <w:rPr>
          <w:rFonts w:ascii="PT Astra Serif" w:hAnsi="PT Astra Serif"/>
          <w:sz w:val="26"/>
          <w:szCs w:val="26"/>
        </w:rPr>
        <w:t xml:space="preserve"> Позиция </w:t>
      </w:r>
      <w:r>
        <w:rPr>
          <w:rFonts w:ascii="PT Astra Serif" w:hAnsi="PT Astra Serif"/>
          <w:sz w:val="26"/>
          <w:szCs w:val="26"/>
        </w:rPr>
        <w:t>Минфина России</w:t>
      </w:r>
      <w:r w:rsidRPr="00405BE3">
        <w:rPr>
          <w:rFonts w:ascii="PT Astra Serif" w:hAnsi="PT Astra Serif"/>
          <w:sz w:val="26"/>
          <w:szCs w:val="26"/>
        </w:rPr>
        <w:t xml:space="preserve"> по вопросу о применении Постановления № 1875 при объединении в объекте одной закупки (предмете одной закупки) товаров, работ, услуг, указанных в перечнях № 1 и № 2 и не указанных в таких перечнях, изложена в пункте 6</w:t>
      </w:r>
      <w:r w:rsidRPr="00405BE3">
        <w:rPr>
          <w:rFonts w:ascii="PT Astra Serif" w:hAnsi="PT Astra Serif"/>
          <w:sz w:val="26"/>
          <w:szCs w:val="26"/>
          <w:vertAlign w:val="superscript"/>
        </w:rPr>
        <w:t>1</w:t>
      </w:r>
      <w:r w:rsidRPr="00405BE3">
        <w:rPr>
          <w:rFonts w:ascii="PT Astra Serif" w:hAnsi="PT Astra Serif"/>
          <w:sz w:val="26"/>
          <w:szCs w:val="26"/>
        </w:rPr>
        <w:t xml:space="preserve"> Письма.</w:t>
      </w:r>
    </w:p>
    <w:p w:rsidR="005B5192" w:rsidRDefault="005B5192" w:rsidP="00405BE3">
      <w:pPr>
        <w:tabs>
          <w:tab w:val="left" w:pos="975"/>
          <w:tab w:val="left" w:pos="2552"/>
        </w:tabs>
        <w:ind w:firstLine="709"/>
        <w:jc w:val="both"/>
        <w:rPr>
          <w:rFonts w:ascii="PT Astra Serif" w:hAnsi="PT Astra Serif"/>
          <w:sz w:val="26"/>
          <w:szCs w:val="26"/>
        </w:rPr>
      </w:pPr>
    </w:p>
    <w:p w:rsidR="005B5192" w:rsidRPr="005B5192" w:rsidRDefault="005B5192" w:rsidP="005B5192">
      <w:pPr>
        <w:tabs>
          <w:tab w:val="left" w:pos="975"/>
          <w:tab w:val="left" w:pos="2552"/>
        </w:tabs>
        <w:ind w:firstLine="709"/>
        <w:jc w:val="both"/>
        <w:rPr>
          <w:rFonts w:ascii="PT Astra Serif" w:hAnsi="PT Astra Serif"/>
          <w:i/>
          <w:sz w:val="26"/>
          <w:szCs w:val="26"/>
        </w:rPr>
      </w:pPr>
      <w:r w:rsidRPr="005B5192">
        <w:rPr>
          <w:rFonts w:ascii="PT Astra Serif" w:hAnsi="PT Astra Serif"/>
          <w:i/>
          <w:sz w:val="26"/>
          <w:szCs w:val="26"/>
        </w:rPr>
        <w:t>Постановление Арбитражного суда Московского округа от 14.03.2025 № Ф05-2803/25 по делу № А40-102344/2024</w:t>
      </w:r>
    </w:p>
    <w:p w:rsidR="005B5192" w:rsidRPr="005B5192" w:rsidRDefault="005B5192" w:rsidP="005B5192">
      <w:pPr>
        <w:tabs>
          <w:tab w:val="left" w:pos="975"/>
          <w:tab w:val="left" w:pos="2552"/>
        </w:tabs>
        <w:ind w:firstLine="709"/>
        <w:jc w:val="both"/>
        <w:rPr>
          <w:rFonts w:ascii="PT Astra Serif" w:hAnsi="PT Astra Serif"/>
          <w:sz w:val="26"/>
          <w:szCs w:val="26"/>
        </w:rPr>
      </w:pPr>
      <w:r w:rsidRPr="005B5192">
        <w:rPr>
          <w:rFonts w:ascii="PT Astra Serif" w:hAnsi="PT Astra Serif"/>
          <w:sz w:val="26"/>
          <w:szCs w:val="26"/>
        </w:rPr>
        <w:t>Заявитель: Победитель аукциона.</w:t>
      </w:r>
    </w:p>
    <w:p w:rsidR="005B5192" w:rsidRPr="005B5192" w:rsidRDefault="005B5192" w:rsidP="005B5192">
      <w:pPr>
        <w:tabs>
          <w:tab w:val="left" w:pos="975"/>
          <w:tab w:val="left" w:pos="2552"/>
        </w:tabs>
        <w:ind w:firstLine="709"/>
        <w:jc w:val="both"/>
        <w:rPr>
          <w:rFonts w:ascii="PT Astra Serif" w:hAnsi="PT Astra Serif"/>
          <w:sz w:val="26"/>
          <w:szCs w:val="26"/>
        </w:rPr>
      </w:pPr>
      <w:r w:rsidRPr="005B5192">
        <w:rPr>
          <w:rFonts w:ascii="PT Astra Serif" w:hAnsi="PT Astra Serif"/>
          <w:sz w:val="26"/>
          <w:szCs w:val="26"/>
        </w:rPr>
        <w:t xml:space="preserve">Общество обратилось в антимонопольный орган с жалобой на действия банка, в которой указало, что банк выдал независимую гарантию для обеспечения заявки на участие в аукционе, не соответствующую требованиям извещения, в следствии чего заявка Общества отклонена. </w:t>
      </w:r>
    </w:p>
    <w:p w:rsidR="005B5192" w:rsidRPr="005B5192" w:rsidRDefault="005B5192" w:rsidP="005B5192">
      <w:pPr>
        <w:tabs>
          <w:tab w:val="left" w:pos="975"/>
          <w:tab w:val="left" w:pos="2552"/>
        </w:tabs>
        <w:ind w:firstLine="709"/>
        <w:jc w:val="both"/>
        <w:rPr>
          <w:rFonts w:ascii="PT Astra Serif" w:hAnsi="PT Astra Serif"/>
          <w:sz w:val="26"/>
          <w:szCs w:val="26"/>
        </w:rPr>
      </w:pPr>
      <w:r w:rsidRPr="005B5192">
        <w:rPr>
          <w:rFonts w:ascii="PT Astra Serif" w:hAnsi="PT Astra Serif"/>
          <w:sz w:val="26"/>
          <w:szCs w:val="26"/>
        </w:rPr>
        <w:t>Антимонопольным органом принято решение о признании в действиях банка нарушений части 8.2 статьи 45 Закона № 44-ФЗ. Банку выдано предписание об устранении нарушения.</w:t>
      </w:r>
    </w:p>
    <w:p w:rsidR="005B5192" w:rsidRPr="005B5192" w:rsidRDefault="005B5192" w:rsidP="005B5192">
      <w:pPr>
        <w:tabs>
          <w:tab w:val="left" w:pos="975"/>
          <w:tab w:val="left" w:pos="2552"/>
        </w:tabs>
        <w:ind w:firstLine="709"/>
        <w:jc w:val="both"/>
        <w:rPr>
          <w:rFonts w:ascii="PT Astra Serif" w:hAnsi="PT Astra Serif"/>
          <w:sz w:val="26"/>
          <w:szCs w:val="26"/>
        </w:rPr>
      </w:pPr>
      <w:r w:rsidRPr="005B5192">
        <w:rPr>
          <w:rFonts w:ascii="PT Astra Serif" w:hAnsi="PT Astra Serif"/>
          <w:sz w:val="26"/>
          <w:szCs w:val="26"/>
        </w:rPr>
        <w:t xml:space="preserve">Не согласившись с решением антимонопольного органа, победитель аукциона обратился в арбитражный суд с заявлением о признании незаконными решения и предписания антимонопольного органа. </w:t>
      </w:r>
    </w:p>
    <w:p w:rsidR="005B5192" w:rsidRPr="005B5192" w:rsidRDefault="005B5192" w:rsidP="005B5192">
      <w:pPr>
        <w:tabs>
          <w:tab w:val="left" w:pos="975"/>
          <w:tab w:val="left" w:pos="2552"/>
        </w:tabs>
        <w:ind w:firstLine="709"/>
        <w:jc w:val="both"/>
        <w:rPr>
          <w:rFonts w:ascii="PT Astra Serif" w:hAnsi="PT Astra Serif"/>
          <w:sz w:val="26"/>
          <w:szCs w:val="26"/>
        </w:rPr>
      </w:pPr>
      <w:r w:rsidRPr="005B5192">
        <w:rPr>
          <w:rFonts w:ascii="PT Astra Serif" w:hAnsi="PT Astra Serif"/>
          <w:sz w:val="26"/>
          <w:szCs w:val="26"/>
        </w:rPr>
        <w:lastRenderedPageBreak/>
        <w:t xml:space="preserve">Суды первой, апелляционной и кассационной инстанции, отказывая в удовлетворении требования победителя аукциона, исходили из следующего. </w:t>
      </w:r>
    </w:p>
    <w:p w:rsidR="005B5192" w:rsidRPr="005B5192" w:rsidRDefault="005B5192" w:rsidP="005B5192">
      <w:pPr>
        <w:tabs>
          <w:tab w:val="left" w:pos="975"/>
          <w:tab w:val="left" w:pos="2552"/>
        </w:tabs>
        <w:ind w:firstLine="709"/>
        <w:jc w:val="both"/>
        <w:rPr>
          <w:rFonts w:ascii="PT Astra Serif" w:hAnsi="PT Astra Serif"/>
          <w:sz w:val="26"/>
          <w:szCs w:val="26"/>
        </w:rPr>
      </w:pPr>
      <w:r w:rsidRPr="005B5192">
        <w:rPr>
          <w:rFonts w:ascii="PT Astra Serif" w:hAnsi="PT Astra Serif"/>
          <w:sz w:val="26"/>
          <w:szCs w:val="26"/>
        </w:rPr>
        <w:t>Банк является не только профессиональным участником рынка финансовых услуг, а также субъектом правоотношений, возникающих при заключении государственных контрактов, на которого также возложена обязанность по соблюдению требований</w:t>
      </w:r>
      <w:r>
        <w:rPr>
          <w:rFonts w:ascii="PT Astra Serif" w:hAnsi="PT Astra Serif"/>
          <w:sz w:val="26"/>
          <w:szCs w:val="26"/>
        </w:rPr>
        <w:t>,</w:t>
      </w:r>
      <w:r w:rsidRPr="005B5192">
        <w:rPr>
          <w:rFonts w:ascii="PT Astra Serif" w:hAnsi="PT Astra Serif"/>
          <w:sz w:val="26"/>
          <w:szCs w:val="26"/>
        </w:rPr>
        <w:t xml:space="preserve"> установленных Законом № 44-ФЗ и Постановлением Правительства № 1005 от 08.11.2013.</w:t>
      </w:r>
    </w:p>
    <w:p w:rsidR="005B5192" w:rsidRPr="005B5192" w:rsidRDefault="005B5192" w:rsidP="005B5192">
      <w:pPr>
        <w:tabs>
          <w:tab w:val="left" w:pos="975"/>
          <w:tab w:val="left" w:pos="2552"/>
        </w:tabs>
        <w:ind w:firstLine="709"/>
        <w:jc w:val="both"/>
        <w:rPr>
          <w:rFonts w:ascii="PT Astra Serif" w:hAnsi="PT Astra Serif"/>
          <w:sz w:val="26"/>
          <w:szCs w:val="26"/>
        </w:rPr>
      </w:pPr>
      <w:r w:rsidRPr="005B5192">
        <w:rPr>
          <w:rFonts w:ascii="PT Astra Serif" w:hAnsi="PT Astra Serif"/>
          <w:sz w:val="26"/>
          <w:szCs w:val="26"/>
        </w:rPr>
        <w:t>Банком в нарушение обязательных требований к оформлению независимой гарантии выдана банковская гарантия, которая не соответствует типовой форме, утвержденной Постановлением Правительства № 1005 от 08.11.2013. Независимая гарантия, выданная не в соответствии с установленными требованиями, повлекла за собой отклонение заявки.</w:t>
      </w:r>
    </w:p>
    <w:p w:rsidR="005B5192" w:rsidRPr="005B5192" w:rsidRDefault="005B5192" w:rsidP="005B5192">
      <w:pPr>
        <w:tabs>
          <w:tab w:val="left" w:pos="975"/>
          <w:tab w:val="left" w:pos="2552"/>
        </w:tabs>
        <w:ind w:firstLine="709"/>
        <w:jc w:val="both"/>
        <w:rPr>
          <w:rFonts w:ascii="PT Astra Serif" w:hAnsi="PT Astra Serif"/>
          <w:sz w:val="26"/>
          <w:szCs w:val="26"/>
        </w:rPr>
      </w:pPr>
      <w:r w:rsidRPr="005B5192">
        <w:rPr>
          <w:rFonts w:ascii="PT Astra Serif" w:hAnsi="PT Astra Serif"/>
          <w:sz w:val="26"/>
          <w:szCs w:val="26"/>
        </w:rPr>
        <w:t>Ответственность за непредставление надлежащего обеспечения контракта не может лежать только на участнике закупки, поскольку банк также является субъектом</w:t>
      </w:r>
      <w:r>
        <w:rPr>
          <w:rFonts w:ascii="PT Astra Serif" w:hAnsi="PT Astra Serif"/>
          <w:sz w:val="26"/>
          <w:szCs w:val="26"/>
        </w:rPr>
        <w:t>,</w:t>
      </w:r>
      <w:r w:rsidRPr="005B5192">
        <w:rPr>
          <w:rFonts w:ascii="PT Astra Serif" w:hAnsi="PT Astra Serif"/>
          <w:sz w:val="26"/>
          <w:szCs w:val="26"/>
        </w:rPr>
        <w:t xml:space="preserve"> обязанным соблюдать требования положений законодательства.</w:t>
      </w:r>
    </w:p>
    <w:p w:rsidR="005B5192" w:rsidRPr="005B5192" w:rsidRDefault="005B5192" w:rsidP="005B5192">
      <w:pPr>
        <w:tabs>
          <w:tab w:val="left" w:pos="975"/>
          <w:tab w:val="left" w:pos="2552"/>
        </w:tabs>
        <w:ind w:firstLine="709"/>
        <w:jc w:val="both"/>
        <w:rPr>
          <w:rFonts w:ascii="PT Astra Serif" w:hAnsi="PT Astra Serif"/>
          <w:sz w:val="26"/>
          <w:szCs w:val="26"/>
        </w:rPr>
      </w:pPr>
      <w:r w:rsidRPr="005B5192">
        <w:rPr>
          <w:rFonts w:ascii="PT Astra Serif" w:hAnsi="PT Astra Serif"/>
          <w:sz w:val="26"/>
          <w:szCs w:val="26"/>
        </w:rPr>
        <w:tab/>
        <w:t>Решение арбитражного суда, постановление апелляционного суда оставлены без изменений, кассационная жалоба без удовлетворения.</w:t>
      </w:r>
    </w:p>
    <w:p w:rsidR="005B5192" w:rsidRPr="005B5192" w:rsidRDefault="005B5192" w:rsidP="005B5192">
      <w:pPr>
        <w:tabs>
          <w:tab w:val="left" w:pos="975"/>
          <w:tab w:val="left" w:pos="2552"/>
        </w:tabs>
        <w:ind w:firstLine="709"/>
        <w:jc w:val="both"/>
        <w:rPr>
          <w:rFonts w:ascii="PT Astra Serif" w:hAnsi="PT Astra Serif"/>
          <w:i/>
          <w:sz w:val="26"/>
          <w:szCs w:val="26"/>
        </w:rPr>
      </w:pPr>
    </w:p>
    <w:p w:rsidR="005B5192" w:rsidRPr="005B5192" w:rsidRDefault="005B5192" w:rsidP="005B5192">
      <w:pPr>
        <w:tabs>
          <w:tab w:val="left" w:pos="975"/>
          <w:tab w:val="left" w:pos="2552"/>
        </w:tabs>
        <w:ind w:firstLine="709"/>
        <w:jc w:val="both"/>
        <w:rPr>
          <w:rFonts w:ascii="PT Astra Serif" w:hAnsi="PT Astra Serif"/>
          <w:i/>
          <w:sz w:val="26"/>
          <w:szCs w:val="26"/>
        </w:rPr>
      </w:pPr>
      <w:r w:rsidRPr="005B5192">
        <w:rPr>
          <w:rFonts w:ascii="PT Astra Serif" w:hAnsi="PT Astra Serif"/>
          <w:i/>
          <w:sz w:val="26"/>
          <w:szCs w:val="26"/>
        </w:rPr>
        <w:t>Постановление Арбитражного суда Поволжского округа от 14.03.2025 № Ф06-664/25 по делу № А12-9206/2024</w:t>
      </w:r>
    </w:p>
    <w:p w:rsidR="005B5192" w:rsidRPr="005B5192" w:rsidRDefault="005B5192" w:rsidP="005B5192">
      <w:pPr>
        <w:tabs>
          <w:tab w:val="left" w:pos="975"/>
          <w:tab w:val="left" w:pos="2552"/>
        </w:tabs>
        <w:ind w:firstLine="709"/>
        <w:jc w:val="both"/>
        <w:rPr>
          <w:rFonts w:ascii="PT Astra Serif" w:hAnsi="PT Astra Serif"/>
          <w:sz w:val="26"/>
          <w:szCs w:val="26"/>
        </w:rPr>
      </w:pPr>
      <w:r w:rsidRPr="005B5192">
        <w:rPr>
          <w:rFonts w:ascii="PT Astra Serif" w:hAnsi="PT Astra Serif"/>
          <w:sz w:val="26"/>
          <w:szCs w:val="26"/>
        </w:rPr>
        <w:t>Заявители: Учреждение и Администрация.</w:t>
      </w:r>
    </w:p>
    <w:p w:rsidR="005B5192" w:rsidRPr="005B5192" w:rsidRDefault="005B5192" w:rsidP="005B5192">
      <w:pPr>
        <w:tabs>
          <w:tab w:val="left" w:pos="975"/>
          <w:tab w:val="left" w:pos="2552"/>
        </w:tabs>
        <w:ind w:firstLine="709"/>
        <w:jc w:val="both"/>
        <w:rPr>
          <w:rFonts w:ascii="PT Astra Serif" w:hAnsi="PT Astra Serif"/>
          <w:sz w:val="26"/>
          <w:szCs w:val="26"/>
        </w:rPr>
      </w:pPr>
      <w:r w:rsidRPr="005B5192">
        <w:rPr>
          <w:rFonts w:ascii="PT Astra Serif" w:hAnsi="PT Astra Serif"/>
          <w:sz w:val="26"/>
          <w:szCs w:val="26"/>
        </w:rPr>
        <w:t xml:space="preserve">Прокуратура, проведя проверку в отношении Учреждения, установила, что между Учреждением и Обществом на основании пункта 5 части 1 статьи 93 Закона № 44-ФЗ заключено три договора на поставку звукового оборудования на общую сумму 1 300 000 руб. </w:t>
      </w:r>
    </w:p>
    <w:p w:rsidR="005B5192" w:rsidRPr="005B5192" w:rsidRDefault="005B5192" w:rsidP="005B5192">
      <w:pPr>
        <w:tabs>
          <w:tab w:val="left" w:pos="975"/>
          <w:tab w:val="left" w:pos="2552"/>
        </w:tabs>
        <w:ind w:firstLine="709"/>
        <w:jc w:val="both"/>
        <w:rPr>
          <w:rFonts w:ascii="PT Astra Serif" w:hAnsi="PT Astra Serif"/>
          <w:sz w:val="26"/>
          <w:szCs w:val="26"/>
        </w:rPr>
      </w:pPr>
      <w:r w:rsidRPr="005B5192">
        <w:rPr>
          <w:rFonts w:ascii="PT Astra Serif" w:hAnsi="PT Astra Serif"/>
          <w:sz w:val="26"/>
          <w:szCs w:val="26"/>
        </w:rPr>
        <w:t>Стороны, заключив договоры на поставку профессионального звукового оборудования с единственным поставщиком, нарушили требования Закона № 44-ФЗ об обязательности проведения закупочных процедур.</w:t>
      </w:r>
    </w:p>
    <w:p w:rsidR="005B5192" w:rsidRPr="005B5192" w:rsidRDefault="005B5192" w:rsidP="005B5192">
      <w:pPr>
        <w:tabs>
          <w:tab w:val="left" w:pos="975"/>
          <w:tab w:val="left" w:pos="2552"/>
        </w:tabs>
        <w:ind w:firstLine="709"/>
        <w:jc w:val="both"/>
        <w:rPr>
          <w:rFonts w:ascii="PT Astra Serif" w:hAnsi="PT Astra Serif"/>
          <w:sz w:val="26"/>
          <w:szCs w:val="26"/>
        </w:rPr>
      </w:pPr>
      <w:r w:rsidRPr="005B5192">
        <w:rPr>
          <w:rFonts w:ascii="PT Astra Serif" w:hAnsi="PT Astra Serif"/>
          <w:sz w:val="26"/>
          <w:szCs w:val="26"/>
        </w:rPr>
        <w:t>Прокуратура обратилась в арбитражный суд с исковым заявлением о признании договоров недействительными (имеются признаки дробления сделки).</w:t>
      </w:r>
    </w:p>
    <w:p w:rsidR="005B5192" w:rsidRPr="005B5192" w:rsidRDefault="005B5192" w:rsidP="005B5192">
      <w:pPr>
        <w:tabs>
          <w:tab w:val="left" w:pos="975"/>
          <w:tab w:val="left" w:pos="2552"/>
        </w:tabs>
        <w:ind w:firstLine="709"/>
        <w:jc w:val="both"/>
        <w:rPr>
          <w:rFonts w:ascii="PT Astra Serif" w:hAnsi="PT Astra Serif"/>
          <w:sz w:val="26"/>
          <w:szCs w:val="26"/>
        </w:rPr>
      </w:pPr>
      <w:r w:rsidRPr="005B5192">
        <w:rPr>
          <w:rFonts w:ascii="PT Astra Serif" w:hAnsi="PT Astra Serif"/>
          <w:sz w:val="26"/>
          <w:szCs w:val="26"/>
        </w:rPr>
        <w:t xml:space="preserve">Удовлетворяя заявленные требования и признавая договоры недействительными, суд первой инстанции исходил из того, что спорные договоры заключены сторонами в короткий промежуток времени и образуют единую сделку, искусственно раздробленную и оформленную тремя самостоятельными договорами для формального соблюдения ограничения, предусмотренного пунктом 5 части 1 статьи 93 Закона № 44-ФЗ, что привело к ограничению доступа других хозяйствующих субъектов к участию в торгах на право заключения контракта. </w:t>
      </w:r>
    </w:p>
    <w:p w:rsidR="005B5192" w:rsidRPr="005B5192" w:rsidRDefault="005B5192" w:rsidP="005B5192">
      <w:pPr>
        <w:tabs>
          <w:tab w:val="left" w:pos="975"/>
          <w:tab w:val="left" w:pos="2552"/>
        </w:tabs>
        <w:ind w:firstLine="709"/>
        <w:jc w:val="both"/>
        <w:rPr>
          <w:rFonts w:ascii="PT Astra Serif" w:hAnsi="PT Astra Serif"/>
          <w:sz w:val="26"/>
          <w:szCs w:val="26"/>
        </w:rPr>
      </w:pPr>
      <w:r w:rsidRPr="005B5192">
        <w:rPr>
          <w:rFonts w:ascii="PT Astra Serif" w:hAnsi="PT Astra Serif"/>
          <w:sz w:val="26"/>
          <w:szCs w:val="26"/>
        </w:rPr>
        <w:t>Несмотря на различие в местах применения оборудования, поставка оборудования по спорным договорам является однородной и связана единой целью, заключение договоров нацелено на достижение одного результата.</w:t>
      </w:r>
    </w:p>
    <w:p w:rsidR="005B5192" w:rsidRPr="005B5192" w:rsidRDefault="005B5192" w:rsidP="005B5192">
      <w:pPr>
        <w:tabs>
          <w:tab w:val="left" w:pos="975"/>
          <w:tab w:val="left" w:pos="2552"/>
        </w:tabs>
        <w:ind w:firstLine="709"/>
        <w:jc w:val="both"/>
        <w:rPr>
          <w:rFonts w:ascii="PT Astra Serif" w:hAnsi="PT Astra Serif"/>
          <w:sz w:val="26"/>
          <w:szCs w:val="26"/>
        </w:rPr>
      </w:pPr>
      <w:r w:rsidRPr="005B5192">
        <w:rPr>
          <w:rFonts w:ascii="PT Astra Serif" w:hAnsi="PT Astra Serif"/>
          <w:sz w:val="26"/>
          <w:szCs w:val="26"/>
        </w:rPr>
        <w:t xml:space="preserve">Судом признаны несостоятельными и отклонены как необоснованные доводы Администрации города: </w:t>
      </w:r>
    </w:p>
    <w:p w:rsidR="005B5192" w:rsidRPr="005B5192" w:rsidRDefault="005B5192" w:rsidP="005B5192">
      <w:pPr>
        <w:tabs>
          <w:tab w:val="left" w:pos="975"/>
          <w:tab w:val="left" w:pos="2552"/>
        </w:tabs>
        <w:ind w:firstLine="709"/>
        <w:jc w:val="both"/>
        <w:rPr>
          <w:rFonts w:ascii="PT Astra Serif" w:hAnsi="PT Astra Serif"/>
          <w:sz w:val="26"/>
          <w:szCs w:val="26"/>
        </w:rPr>
      </w:pPr>
      <w:r w:rsidRPr="005B5192">
        <w:rPr>
          <w:rFonts w:ascii="PT Astra Serif" w:hAnsi="PT Astra Serif"/>
          <w:sz w:val="26"/>
          <w:szCs w:val="26"/>
        </w:rPr>
        <w:t>- Учреждение находилось в чрезвычайной ситуации из-за поломки звукового оборудования и должно было срочно осуществить закупку (в материалы дела не представлены доказательства приобретения звукового оборудования в целях предотвращения чрезвычайных ситуаций);</w:t>
      </w:r>
    </w:p>
    <w:p w:rsidR="005B5192" w:rsidRPr="005B5192" w:rsidRDefault="005B5192" w:rsidP="005B5192">
      <w:pPr>
        <w:tabs>
          <w:tab w:val="left" w:pos="975"/>
          <w:tab w:val="left" w:pos="2552"/>
        </w:tabs>
        <w:ind w:firstLine="709"/>
        <w:jc w:val="both"/>
        <w:rPr>
          <w:rFonts w:ascii="PT Astra Serif" w:hAnsi="PT Astra Serif"/>
          <w:sz w:val="26"/>
          <w:szCs w:val="26"/>
        </w:rPr>
      </w:pPr>
      <w:r w:rsidRPr="005B5192">
        <w:rPr>
          <w:rFonts w:ascii="PT Astra Serif" w:hAnsi="PT Astra Serif"/>
          <w:sz w:val="26"/>
          <w:szCs w:val="26"/>
        </w:rPr>
        <w:t>- Учреждение рассматривало также коммерческие предложения других организаций, но Обществом предложены более выгодные условия.</w:t>
      </w:r>
    </w:p>
    <w:p w:rsidR="005B5192" w:rsidRPr="005B5192" w:rsidRDefault="005B5192" w:rsidP="005B5192">
      <w:pPr>
        <w:tabs>
          <w:tab w:val="left" w:pos="975"/>
          <w:tab w:val="left" w:pos="2552"/>
        </w:tabs>
        <w:ind w:firstLine="709"/>
        <w:jc w:val="both"/>
        <w:rPr>
          <w:rFonts w:ascii="PT Astra Serif" w:hAnsi="PT Astra Serif"/>
          <w:sz w:val="26"/>
          <w:szCs w:val="26"/>
        </w:rPr>
      </w:pPr>
      <w:r w:rsidRPr="005B5192">
        <w:rPr>
          <w:rFonts w:ascii="PT Astra Serif" w:hAnsi="PT Astra Serif"/>
          <w:sz w:val="26"/>
          <w:szCs w:val="26"/>
        </w:rPr>
        <w:t xml:space="preserve">Кроме того, судом установлено, что директор Учреждения привлечен к административной ответственности по части 1 статьи 7.29 КоАП РФ, применена мера </w:t>
      </w:r>
      <w:r w:rsidRPr="005B5192">
        <w:rPr>
          <w:rFonts w:ascii="PT Astra Serif" w:hAnsi="PT Astra Serif"/>
          <w:sz w:val="26"/>
          <w:szCs w:val="26"/>
        </w:rPr>
        <w:lastRenderedPageBreak/>
        <w:t>ответственности в виде предупреждения. Постановление о привлечении директора Учреждения к административной ответственности не обжаловано.</w:t>
      </w:r>
    </w:p>
    <w:p w:rsidR="005B5192" w:rsidRPr="005B5192" w:rsidRDefault="005B5192" w:rsidP="005B5192">
      <w:pPr>
        <w:tabs>
          <w:tab w:val="left" w:pos="975"/>
          <w:tab w:val="left" w:pos="2552"/>
        </w:tabs>
        <w:ind w:firstLine="709"/>
        <w:jc w:val="both"/>
        <w:rPr>
          <w:rFonts w:ascii="PT Astra Serif" w:hAnsi="PT Astra Serif"/>
          <w:sz w:val="26"/>
          <w:szCs w:val="26"/>
        </w:rPr>
      </w:pPr>
      <w:r w:rsidRPr="005B5192">
        <w:rPr>
          <w:rFonts w:ascii="PT Astra Serif" w:hAnsi="PT Astra Serif"/>
          <w:sz w:val="26"/>
          <w:szCs w:val="26"/>
        </w:rPr>
        <w:t>Суд пришел к выводу о ничтожности указанных договоров, применении последствий их недействительности – в виде возврата сторонами полученного по сделкам.</w:t>
      </w:r>
    </w:p>
    <w:p w:rsidR="005B5192" w:rsidRPr="005B5192" w:rsidRDefault="005B5192" w:rsidP="005B5192">
      <w:pPr>
        <w:tabs>
          <w:tab w:val="left" w:pos="975"/>
          <w:tab w:val="left" w:pos="2552"/>
        </w:tabs>
        <w:ind w:firstLine="709"/>
        <w:jc w:val="both"/>
        <w:rPr>
          <w:rFonts w:ascii="PT Astra Serif" w:hAnsi="PT Astra Serif"/>
          <w:sz w:val="26"/>
          <w:szCs w:val="26"/>
        </w:rPr>
      </w:pPr>
      <w:r w:rsidRPr="005B5192">
        <w:rPr>
          <w:rFonts w:ascii="PT Astra Serif" w:hAnsi="PT Astra Serif"/>
          <w:sz w:val="26"/>
          <w:szCs w:val="26"/>
        </w:rPr>
        <w:t>Учреждение и Администрация обратились в вышестоящие судебные инстанции.</w:t>
      </w:r>
    </w:p>
    <w:p w:rsidR="005B5192" w:rsidRPr="005B5192" w:rsidRDefault="005B5192" w:rsidP="005B5192">
      <w:pPr>
        <w:tabs>
          <w:tab w:val="left" w:pos="975"/>
          <w:tab w:val="left" w:pos="2552"/>
        </w:tabs>
        <w:ind w:firstLine="709"/>
        <w:jc w:val="both"/>
        <w:rPr>
          <w:rFonts w:ascii="PT Astra Serif" w:hAnsi="PT Astra Serif"/>
          <w:sz w:val="26"/>
          <w:szCs w:val="26"/>
        </w:rPr>
      </w:pPr>
      <w:r w:rsidRPr="005B5192">
        <w:rPr>
          <w:rFonts w:ascii="PT Astra Serif" w:hAnsi="PT Astra Serif"/>
          <w:sz w:val="26"/>
          <w:szCs w:val="26"/>
        </w:rPr>
        <w:t xml:space="preserve">Суды апелляционной и кассационной инстанции оставили жалобы без удовлетворения. </w:t>
      </w:r>
    </w:p>
    <w:p w:rsidR="005637BC" w:rsidRDefault="005637BC" w:rsidP="00405BE3">
      <w:pPr>
        <w:tabs>
          <w:tab w:val="left" w:pos="975"/>
          <w:tab w:val="left" w:pos="2552"/>
        </w:tabs>
        <w:ind w:firstLine="709"/>
        <w:jc w:val="both"/>
        <w:rPr>
          <w:rFonts w:ascii="PT Astra Serif" w:hAnsi="PT Astra Serif"/>
          <w:sz w:val="26"/>
          <w:szCs w:val="26"/>
        </w:rPr>
      </w:pPr>
    </w:p>
    <w:p w:rsidR="005637BC" w:rsidRPr="005637BC" w:rsidRDefault="005637BC" w:rsidP="005637BC">
      <w:pPr>
        <w:tabs>
          <w:tab w:val="left" w:pos="975"/>
          <w:tab w:val="left" w:pos="2552"/>
        </w:tabs>
        <w:ind w:firstLine="709"/>
        <w:jc w:val="both"/>
        <w:rPr>
          <w:rFonts w:ascii="PT Astra Serif" w:hAnsi="PT Astra Serif"/>
          <w:i/>
          <w:sz w:val="26"/>
          <w:szCs w:val="26"/>
        </w:rPr>
      </w:pPr>
      <w:r w:rsidRPr="005637BC">
        <w:rPr>
          <w:rFonts w:ascii="PT Astra Serif" w:hAnsi="PT Astra Serif"/>
          <w:i/>
          <w:sz w:val="26"/>
          <w:szCs w:val="26"/>
        </w:rPr>
        <w:t>Постановление Тринадцатого арбитражного апелляционного суда от 16.03.2025 по делу № А56-42734/2024</w:t>
      </w:r>
    </w:p>
    <w:p w:rsidR="005637BC" w:rsidRPr="005637BC" w:rsidRDefault="005637BC" w:rsidP="005637BC">
      <w:pPr>
        <w:tabs>
          <w:tab w:val="left" w:pos="975"/>
          <w:tab w:val="left" w:pos="2552"/>
        </w:tabs>
        <w:ind w:firstLine="709"/>
        <w:jc w:val="both"/>
        <w:rPr>
          <w:rFonts w:ascii="PT Astra Serif" w:hAnsi="PT Astra Serif"/>
          <w:sz w:val="26"/>
          <w:szCs w:val="26"/>
        </w:rPr>
      </w:pPr>
      <w:r w:rsidRPr="005637BC">
        <w:rPr>
          <w:rFonts w:ascii="PT Astra Serif" w:hAnsi="PT Astra Serif"/>
          <w:sz w:val="26"/>
          <w:szCs w:val="26"/>
        </w:rPr>
        <w:t>Заявитель: Администрация (Заказчик)</w:t>
      </w:r>
    </w:p>
    <w:p w:rsidR="005637BC" w:rsidRPr="005637BC" w:rsidRDefault="005637BC" w:rsidP="005637BC">
      <w:pPr>
        <w:tabs>
          <w:tab w:val="left" w:pos="975"/>
          <w:tab w:val="left" w:pos="2552"/>
        </w:tabs>
        <w:ind w:firstLine="709"/>
        <w:jc w:val="both"/>
        <w:rPr>
          <w:rFonts w:ascii="PT Astra Serif" w:hAnsi="PT Astra Serif"/>
          <w:sz w:val="26"/>
          <w:szCs w:val="26"/>
        </w:rPr>
      </w:pPr>
      <w:r w:rsidRPr="005637BC">
        <w:rPr>
          <w:rFonts w:ascii="PT Astra Serif" w:hAnsi="PT Astra Serif"/>
          <w:sz w:val="26"/>
          <w:szCs w:val="26"/>
        </w:rPr>
        <w:t xml:space="preserve">Заказчиком размещено извещение о проведении аукциона на оказание услуг по комплексной уборке помещений, установлены дополнительные требования к участникам закупки в соответствии с пунктом 36 приложения к постановлению Правительства Российской Федерации от 29.12.2021 № 2571 о подтверждении наличия опыта исполнения договора, предусматривающего оказание услуг по уборке зданий, сооружений, прилегающих к ним территорий. Цена оказанных услуг по договору должна составлять не менее 20% НМЦК. </w:t>
      </w:r>
    </w:p>
    <w:p w:rsidR="005637BC" w:rsidRPr="005637BC" w:rsidRDefault="005637BC" w:rsidP="005637BC">
      <w:pPr>
        <w:tabs>
          <w:tab w:val="left" w:pos="975"/>
          <w:tab w:val="left" w:pos="2552"/>
        </w:tabs>
        <w:ind w:firstLine="709"/>
        <w:jc w:val="both"/>
        <w:rPr>
          <w:rFonts w:ascii="PT Astra Serif" w:hAnsi="PT Astra Serif"/>
          <w:sz w:val="26"/>
          <w:szCs w:val="26"/>
        </w:rPr>
      </w:pPr>
      <w:r w:rsidRPr="005637BC">
        <w:rPr>
          <w:rFonts w:ascii="PT Astra Serif" w:hAnsi="PT Astra Serif"/>
          <w:sz w:val="26"/>
          <w:szCs w:val="26"/>
        </w:rPr>
        <w:t xml:space="preserve">В Санкт-Петербургское УФАС (далее – Управление) поступила жалоба Общества на действия Администрации при определении поставщика (подрядчика, исполнителя). </w:t>
      </w:r>
    </w:p>
    <w:p w:rsidR="005637BC" w:rsidRPr="005637BC" w:rsidRDefault="005637BC" w:rsidP="005637BC">
      <w:pPr>
        <w:tabs>
          <w:tab w:val="left" w:pos="975"/>
          <w:tab w:val="left" w:pos="2552"/>
        </w:tabs>
        <w:ind w:firstLine="709"/>
        <w:jc w:val="both"/>
        <w:rPr>
          <w:rFonts w:ascii="PT Astra Serif" w:hAnsi="PT Astra Serif"/>
          <w:sz w:val="26"/>
          <w:szCs w:val="26"/>
        </w:rPr>
      </w:pPr>
      <w:r w:rsidRPr="005637BC">
        <w:rPr>
          <w:rFonts w:ascii="PT Astra Serif" w:hAnsi="PT Astra Serif"/>
          <w:sz w:val="26"/>
          <w:szCs w:val="26"/>
        </w:rPr>
        <w:t>Управлением установлено, что заявка Общества отклонена в связи с несоответствием участника закупки требованиям, установленным в извещении (пункт 3 части 12 статьи 48 Закона № 44-ФЗ). Обществом в качестве подтверждения соответствия дополнительным требованиям представлен контракт по комплексному обслуживанию зданий.</w:t>
      </w:r>
    </w:p>
    <w:p w:rsidR="005637BC" w:rsidRPr="005637BC" w:rsidRDefault="005637BC" w:rsidP="005637BC">
      <w:pPr>
        <w:tabs>
          <w:tab w:val="left" w:pos="975"/>
          <w:tab w:val="left" w:pos="2552"/>
        </w:tabs>
        <w:ind w:firstLine="709"/>
        <w:jc w:val="both"/>
        <w:rPr>
          <w:rFonts w:ascii="PT Astra Serif" w:hAnsi="PT Astra Serif"/>
          <w:sz w:val="26"/>
          <w:szCs w:val="26"/>
        </w:rPr>
      </w:pPr>
      <w:r w:rsidRPr="005637BC">
        <w:rPr>
          <w:rFonts w:ascii="PT Astra Serif" w:hAnsi="PT Astra Serif"/>
          <w:sz w:val="26"/>
          <w:szCs w:val="26"/>
        </w:rPr>
        <w:t xml:space="preserve">Управление пришло к выводу, что контракт, представленный Обществом, содержит в Техническом задании оказание услуг по уборке зданий, сооружений, прилегающих к ним территорий, следовательно, соответствует установленным требованиям. </w:t>
      </w:r>
    </w:p>
    <w:p w:rsidR="005637BC" w:rsidRPr="005637BC" w:rsidRDefault="005637BC" w:rsidP="005637BC">
      <w:pPr>
        <w:tabs>
          <w:tab w:val="left" w:pos="975"/>
          <w:tab w:val="left" w:pos="2552"/>
        </w:tabs>
        <w:ind w:firstLine="709"/>
        <w:jc w:val="both"/>
        <w:rPr>
          <w:rFonts w:ascii="PT Astra Serif" w:hAnsi="PT Astra Serif"/>
          <w:sz w:val="26"/>
          <w:szCs w:val="26"/>
        </w:rPr>
      </w:pPr>
      <w:r w:rsidRPr="005637BC">
        <w:rPr>
          <w:rFonts w:ascii="PT Astra Serif" w:hAnsi="PT Astra Serif"/>
          <w:sz w:val="26"/>
          <w:szCs w:val="26"/>
        </w:rPr>
        <w:t xml:space="preserve">Управление признало жалобу Общества обоснованной. </w:t>
      </w:r>
    </w:p>
    <w:p w:rsidR="005637BC" w:rsidRPr="005637BC" w:rsidRDefault="005637BC" w:rsidP="005637BC">
      <w:pPr>
        <w:tabs>
          <w:tab w:val="left" w:pos="975"/>
          <w:tab w:val="left" w:pos="2552"/>
        </w:tabs>
        <w:ind w:firstLine="709"/>
        <w:jc w:val="both"/>
        <w:rPr>
          <w:rFonts w:ascii="PT Astra Serif" w:hAnsi="PT Astra Serif"/>
          <w:sz w:val="26"/>
          <w:szCs w:val="26"/>
        </w:rPr>
      </w:pPr>
      <w:r w:rsidRPr="005637BC">
        <w:rPr>
          <w:rFonts w:ascii="PT Astra Serif" w:hAnsi="PT Astra Serif"/>
          <w:sz w:val="26"/>
          <w:szCs w:val="26"/>
        </w:rPr>
        <w:t xml:space="preserve">Не согласившись с решением Управления, Заказчик обратился в суд. </w:t>
      </w:r>
    </w:p>
    <w:p w:rsidR="005637BC" w:rsidRPr="005637BC" w:rsidRDefault="005637BC" w:rsidP="005637BC">
      <w:pPr>
        <w:tabs>
          <w:tab w:val="left" w:pos="975"/>
          <w:tab w:val="left" w:pos="2552"/>
        </w:tabs>
        <w:ind w:firstLine="709"/>
        <w:jc w:val="both"/>
        <w:rPr>
          <w:rFonts w:ascii="PT Astra Serif" w:hAnsi="PT Astra Serif"/>
          <w:sz w:val="26"/>
          <w:szCs w:val="26"/>
        </w:rPr>
      </w:pPr>
      <w:r w:rsidRPr="005637BC">
        <w:rPr>
          <w:rFonts w:ascii="PT Astra Serif" w:hAnsi="PT Astra Serif"/>
          <w:sz w:val="26"/>
          <w:szCs w:val="26"/>
        </w:rPr>
        <w:t>Суды первой и апелляционной инстанции, отказывая в удовлетворении требований Заказчика, исходили из следующего.</w:t>
      </w:r>
    </w:p>
    <w:p w:rsidR="005637BC" w:rsidRPr="005637BC" w:rsidRDefault="005637BC" w:rsidP="005637BC">
      <w:pPr>
        <w:tabs>
          <w:tab w:val="left" w:pos="975"/>
          <w:tab w:val="left" w:pos="2552"/>
        </w:tabs>
        <w:ind w:firstLine="709"/>
        <w:jc w:val="both"/>
        <w:rPr>
          <w:rFonts w:ascii="PT Astra Serif" w:hAnsi="PT Astra Serif"/>
          <w:sz w:val="26"/>
          <w:szCs w:val="26"/>
        </w:rPr>
      </w:pPr>
      <w:r w:rsidRPr="005637BC">
        <w:rPr>
          <w:rFonts w:ascii="PT Astra Serif" w:hAnsi="PT Astra Serif"/>
          <w:sz w:val="26"/>
          <w:szCs w:val="26"/>
        </w:rPr>
        <w:t>Техническим заданием, являющимся приложением к представленному Обществом контракту, установлен перечень оказываемых услуг по ежедневной комплексной уборке помещений и прилегающих территорий. Входящие в состав контракта услуги являются сопоставимыми предмету закупки.</w:t>
      </w:r>
    </w:p>
    <w:p w:rsidR="005637BC" w:rsidRDefault="005637BC" w:rsidP="005637BC">
      <w:pPr>
        <w:tabs>
          <w:tab w:val="left" w:pos="975"/>
          <w:tab w:val="left" w:pos="2552"/>
        </w:tabs>
        <w:ind w:firstLine="709"/>
        <w:jc w:val="both"/>
        <w:rPr>
          <w:rFonts w:ascii="PT Astra Serif" w:hAnsi="PT Astra Serif"/>
          <w:sz w:val="26"/>
          <w:szCs w:val="26"/>
        </w:rPr>
      </w:pPr>
      <w:r w:rsidRPr="005637BC">
        <w:rPr>
          <w:rFonts w:ascii="PT Astra Serif" w:hAnsi="PT Astra Serif"/>
          <w:sz w:val="26"/>
          <w:szCs w:val="26"/>
        </w:rPr>
        <w:t>Суды отклонили довод Заказчика о невозможности подтвердить соответствие участника требованию о цене оказанных услуг не менее 20% НМЦК, поскольку отсутствует возможность отдельно выделить стоимость необходимых работ, указав, что стоимость услуг по комплексной уборке помещений и прилегающей территории, входящих в состав комплексного обслуживания и оказанных по контракту, цена которого составляет 19 495 208 руб., не может быть менее требуемых 20% НМЦК (3 538 702,5 руб.)</w:t>
      </w:r>
    </w:p>
    <w:p w:rsidR="005637BC" w:rsidRPr="005637BC" w:rsidRDefault="005637BC" w:rsidP="005637BC">
      <w:pPr>
        <w:tabs>
          <w:tab w:val="left" w:pos="975"/>
          <w:tab w:val="left" w:pos="2552"/>
        </w:tabs>
        <w:ind w:firstLine="709"/>
        <w:jc w:val="both"/>
        <w:rPr>
          <w:rFonts w:ascii="PT Astra Serif" w:hAnsi="PT Astra Serif"/>
          <w:sz w:val="26"/>
          <w:szCs w:val="26"/>
        </w:rPr>
      </w:pPr>
    </w:p>
    <w:p w:rsidR="005637BC" w:rsidRPr="005637BC" w:rsidRDefault="005637BC" w:rsidP="005637BC">
      <w:pPr>
        <w:tabs>
          <w:tab w:val="left" w:pos="975"/>
          <w:tab w:val="left" w:pos="2552"/>
        </w:tabs>
        <w:ind w:firstLine="709"/>
        <w:jc w:val="both"/>
        <w:rPr>
          <w:rFonts w:ascii="PT Astra Serif" w:hAnsi="PT Astra Serif"/>
          <w:i/>
          <w:sz w:val="26"/>
          <w:szCs w:val="26"/>
        </w:rPr>
      </w:pPr>
      <w:r w:rsidRPr="005637BC">
        <w:rPr>
          <w:rFonts w:ascii="PT Astra Serif" w:hAnsi="PT Astra Serif"/>
          <w:i/>
          <w:sz w:val="26"/>
          <w:szCs w:val="26"/>
        </w:rPr>
        <w:t xml:space="preserve">Решение Ханты-Мансийского УФАС России от 03.03.2025 </w:t>
      </w:r>
      <w:r>
        <w:rPr>
          <w:rFonts w:ascii="PT Astra Serif" w:hAnsi="PT Astra Serif"/>
          <w:i/>
          <w:sz w:val="26"/>
          <w:szCs w:val="26"/>
        </w:rPr>
        <w:t>по делу</w:t>
      </w:r>
      <w:r w:rsidRPr="005637BC">
        <w:rPr>
          <w:rFonts w:ascii="PT Astra Serif" w:hAnsi="PT Astra Serif"/>
          <w:i/>
          <w:sz w:val="26"/>
          <w:szCs w:val="26"/>
        </w:rPr>
        <w:t xml:space="preserve"> № 086/06/99-327/2025</w:t>
      </w:r>
    </w:p>
    <w:p w:rsidR="005637BC" w:rsidRPr="005637BC" w:rsidRDefault="005637BC" w:rsidP="005637BC">
      <w:pPr>
        <w:tabs>
          <w:tab w:val="left" w:pos="975"/>
          <w:tab w:val="left" w:pos="2552"/>
        </w:tabs>
        <w:ind w:firstLine="709"/>
        <w:jc w:val="both"/>
        <w:rPr>
          <w:rFonts w:ascii="PT Astra Serif" w:hAnsi="PT Astra Serif"/>
          <w:sz w:val="26"/>
          <w:szCs w:val="26"/>
        </w:rPr>
      </w:pPr>
      <w:r w:rsidRPr="005637BC">
        <w:rPr>
          <w:rFonts w:ascii="PT Astra Serif" w:hAnsi="PT Astra Serif"/>
          <w:sz w:val="26"/>
          <w:szCs w:val="26"/>
        </w:rPr>
        <w:t>Заявитель: Общество</w:t>
      </w:r>
    </w:p>
    <w:p w:rsidR="005637BC" w:rsidRPr="005637BC" w:rsidRDefault="005637BC" w:rsidP="005637BC">
      <w:pPr>
        <w:tabs>
          <w:tab w:val="left" w:pos="975"/>
          <w:tab w:val="left" w:pos="2552"/>
        </w:tabs>
        <w:ind w:firstLine="709"/>
        <w:jc w:val="both"/>
        <w:rPr>
          <w:rFonts w:ascii="PT Astra Serif" w:hAnsi="PT Astra Serif"/>
          <w:sz w:val="26"/>
          <w:szCs w:val="26"/>
        </w:rPr>
      </w:pPr>
      <w:r w:rsidRPr="005637BC">
        <w:rPr>
          <w:rFonts w:ascii="PT Astra Serif" w:hAnsi="PT Astra Serif"/>
          <w:sz w:val="26"/>
          <w:szCs w:val="26"/>
        </w:rPr>
        <w:t xml:space="preserve">Учреждением (Заказчик) размещено извещение о проведении открытого конкурса на выполнение работ по капитальному ремонту объекта. В Порядке оценки установлен </w:t>
      </w:r>
      <w:r w:rsidRPr="005637BC">
        <w:rPr>
          <w:rFonts w:ascii="PT Astra Serif" w:hAnsi="PT Astra Serif"/>
          <w:sz w:val="26"/>
          <w:szCs w:val="26"/>
        </w:rPr>
        <w:lastRenderedPageBreak/>
        <w:t xml:space="preserve">критерий «Наличие у участников закупки опыта работы, связанного с предметом контракта». </w:t>
      </w:r>
    </w:p>
    <w:p w:rsidR="005637BC" w:rsidRPr="005637BC" w:rsidRDefault="005637BC" w:rsidP="005637BC">
      <w:pPr>
        <w:tabs>
          <w:tab w:val="left" w:pos="975"/>
          <w:tab w:val="left" w:pos="2552"/>
        </w:tabs>
        <w:ind w:firstLine="709"/>
        <w:jc w:val="both"/>
        <w:rPr>
          <w:rFonts w:ascii="PT Astra Serif" w:hAnsi="PT Astra Serif"/>
          <w:sz w:val="26"/>
          <w:szCs w:val="26"/>
        </w:rPr>
      </w:pPr>
      <w:r w:rsidRPr="005637BC">
        <w:rPr>
          <w:rFonts w:ascii="PT Astra Serif" w:hAnsi="PT Astra Serif"/>
          <w:sz w:val="26"/>
          <w:szCs w:val="26"/>
        </w:rPr>
        <w:t>При этом установлен перечень документов, подтверждающих наличие у участника закупки опыта работы, связанного с предметом контракта, в том числе скан-копии платежных поручений по такому договору (договорам) с отметкой банка, либо скан-копия оригинала выписки из реестра платежных поручений по такому договору (договорам), в рамках исполнения такого договора (договоров).</w:t>
      </w:r>
    </w:p>
    <w:p w:rsidR="005637BC" w:rsidRPr="005637BC" w:rsidRDefault="005637BC" w:rsidP="005637BC">
      <w:pPr>
        <w:tabs>
          <w:tab w:val="left" w:pos="975"/>
          <w:tab w:val="left" w:pos="2552"/>
        </w:tabs>
        <w:ind w:firstLine="709"/>
        <w:jc w:val="both"/>
        <w:rPr>
          <w:rFonts w:ascii="PT Astra Serif" w:hAnsi="PT Astra Serif"/>
          <w:sz w:val="26"/>
          <w:szCs w:val="26"/>
        </w:rPr>
      </w:pPr>
      <w:r w:rsidRPr="005637BC">
        <w:rPr>
          <w:rFonts w:ascii="PT Astra Serif" w:hAnsi="PT Astra Serif"/>
          <w:sz w:val="26"/>
          <w:szCs w:val="26"/>
        </w:rPr>
        <w:t>В Управление поступила жалоба Общества на действия Заказчика при проведении открытого конкурса (установление излишних требований).</w:t>
      </w:r>
    </w:p>
    <w:p w:rsidR="005637BC" w:rsidRPr="005637BC" w:rsidRDefault="005637BC" w:rsidP="005637BC">
      <w:pPr>
        <w:tabs>
          <w:tab w:val="left" w:pos="975"/>
          <w:tab w:val="left" w:pos="2552"/>
        </w:tabs>
        <w:ind w:firstLine="709"/>
        <w:jc w:val="both"/>
        <w:rPr>
          <w:rFonts w:ascii="PT Astra Serif" w:hAnsi="PT Astra Serif"/>
          <w:sz w:val="26"/>
          <w:szCs w:val="26"/>
        </w:rPr>
      </w:pPr>
      <w:r w:rsidRPr="005637BC">
        <w:rPr>
          <w:rFonts w:ascii="PT Astra Serif" w:hAnsi="PT Astra Serif"/>
          <w:sz w:val="26"/>
          <w:szCs w:val="26"/>
        </w:rPr>
        <w:t xml:space="preserve">Управление пришло к выводу, что Порядок оценки ставит участников закупки в неравное положение, поскольку участники закупки, имеющие опыт выполнения работ, сопоставимый с предметом контракта, обязательства по которым исполнены посредством взаимозачета и у подрядчика по контракту отсутствуют документы, подтверждающие оплату, не могут представить сведения о таких контрактах для целей оценки по детализирующему признаку критерия. </w:t>
      </w:r>
    </w:p>
    <w:p w:rsidR="005637BC" w:rsidRPr="005637BC" w:rsidRDefault="005637BC" w:rsidP="005637BC">
      <w:pPr>
        <w:tabs>
          <w:tab w:val="left" w:pos="975"/>
          <w:tab w:val="left" w:pos="2552"/>
        </w:tabs>
        <w:ind w:firstLine="709"/>
        <w:jc w:val="both"/>
        <w:rPr>
          <w:rFonts w:ascii="PT Astra Serif" w:hAnsi="PT Astra Serif"/>
          <w:sz w:val="26"/>
          <w:szCs w:val="26"/>
        </w:rPr>
      </w:pPr>
      <w:r w:rsidRPr="005637BC">
        <w:rPr>
          <w:rFonts w:ascii="PT Astra Serif" w:hAnsi="PT Astra Serif"/>
          <w:sz w:val="26"/>
          <w:szCs w:val="26"/>
        </w:rPr>
        <w:t xml:space="preserve">Само по себе составление и подписание сторонами акта о выполненных работах, разрешения на ввод объекта капитального строительства в эксплуатацию, устанавливает фактическое участие контрагента в исполнении принятых на себя обязательств по договору, что уже свидетельствует о факте выполнения работ в соответствии с условиями заключенного договора. </w:t>
      </w:r>
    </w:p>
    <w:p w:rsidR="005637BC" w:rsidRPr="005637BC" w:rsidRDefault="005637BC" w:rsidP="005637BC">
      <w:pPr>
        <w:tabs>
          <w:tab w:val="left" w:pos="975"/>
          <w:tab w:val="left" w:pos="2552"/>
        </w:tabs>
        <w:ind w:firstLine="709"/>
        <w:jc w:val="both"/>
        <w:rPr>
          <w:rFonts w:ascii="PT Astra Serif" w:hAnsi="PT Astra Serif"/>
          <w:sz w:val="26"/>
          <w:szCs w:val="26"/>
        </w:rPr>
      </w:pPr>
      <w:r w:rsidRPr="005637BC">
        <w:rPr>
          <w:rFonts w:ascii="PT Astra Serif" w:hAnsi="PT Astra Serif"/>
          <w:sz w:val="26"/>
          <w:szCs w:val="26"/>
        </w:rPr>
        <w:t xml:space="preserve">Управление признало жалобу Общества обоснованной, Заказчика нарушившим положение пункта 4 части 2 статьи 42 Закона № 44-ФЗ. </w:t>
      </w:r>
    </w:p>
    <w:p w:rsidR="005637BC" w:rsidRPr="005637BC" w:rsidRDefault="005637BC" w:rsidP="005637BC">
      <w:pPr>
        <w:tabs>
          <w:tab w:val="left" w:pos="975"/>
          <w:tab w:val="left" w:pos="2552"/>
        </w:tabs>
        <w:ind w:firstLine="709"/>
        <w:jc w:val="both"/>
        <w:rPr>
          <w:rFonts w:ascii="PT Astra Serif" w:hAnsi="PT Astra Serif"/>
          <w:sz w:val="26"/>
          <w:szCs w:val="26"/>
        </w:rPr>
      </w:pPr>
    </w:p>
    <w:p w:rsidR="005637BC" w:rsidRPr="00405BE3" w:rsidRDefault="005637BC" w:rsidP="00405BE3">
      <w:pPr>
        <w:tabs>
          <w:tab w:val="left" w:pos="975"/>
          <w:tab w:val="left" w:pos="2552"/>
        </w:tabs>
        <w:ind w:firstLine="709"/>
        <w:jc w:val="both"/>
        <w:rPr>
          <w:rFonts w:ascii="PT Astra Serif" w:hAnsi="PT Astra Serif"/>
          <w:sz w:val="26"/>
          <w:szCs w:val="26"/>
        </w:rPr>
      </w:pPr>
    </w:p>
    <w:sectPr w:rsidR="005637BC" w:rsidRPr="00405BE3" w:rsidSect="00DF12FF">
      <w:headerReference w:type="default" r:id="rId9"/>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2FB4" w:rsidRDefault="00472FB4" w:rsidP="00DF12FF">
      <w:r>
        <w:separator/>
      </w:r>
    </w:p>
  </w:endnote>
  <w:endnote w:type="continuationSeparator" w:id="0">
    <w:p w:rsidR="00472FB4" w:rsidRDefault="00472FB4" w:rsidP="00DF1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2FB4" w:rsidRDefault="00472FB4" w:rsidP="00DF12FF">
      <w:r>
        <w:separator/>
      </w:r>
    </w:p>
  </w:footnote>
  <w:footnote w:type="continuationSeparator" w:id="0">
    <w:p w:rsidR="00472FB4" w:rsidRDefault="00472FB4" w:rsidP="00DF12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9376551"/>
      <w:docPartObj>
        <w:docPartGallery w:val="Page Numbers (Top of Page)"/>
        <w:docPartUnique/>
      </w:docPartObj>
    </w:sdtPr>
    <w:sdtEndPr/>
    <w:sdtContent>
      <w:p w:rsidR="00A835E2" w:rsidRDefault="00A835E2">
        <w:pPr>
          <w:pStyle w:val="ae"/>
          <w:jc w:val="center"/>
        </w:pPr>
        <w:r>
          <w:fldChar w:fldCharType="begin"/>
        </w:r>
        <w:r>
          <w:instrText>PAGE   \* MERGEFORMAT</w:instrText>
        </w:r>
        <w:r>
          <w:fldChar w:fldCharType="separate"/>
        </w:r>
        <w:r w:rsidR="003438DE">
          <w:rPr>
            <w:noProof/>
          </w:rPr>
          <w:t>4</w:t>
        </w:r>
        <w:r>
          <w:fldChar w:fldCharType="end"/>
        </w:r>
      </w:p>
    </w:sdtContent>
  </w:sdt>
  <w:p w:rsidR="00A835E2" w:rsidRDefault="00A835E2">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21FB7"/>
    <w:multiLevelType w:val="hybridMultilevel"/>
    <w:tmpl w:val="CD469EE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74C2D6F"/>
    <w:multiLevelType w:val="hybridMultilevel"/>
    <w:tmpl w:val="8E80660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75A3860"/>
    <w:multiLevelType w:val="hybridMultilevel"/>
    <w:tmpl w:val="DBB65DB2"/>
    <w:lvl w:ilvl="0" w:tplc="5E5A1FC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08E67ED0"/>
    <w:multiLevelType w:val="multilevel"/>
    <w:tmpl w:val="AD30A1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211212"/>
    <w:multiLevelType w:val="hybridMultilevel"/>
    <w:tmpl w:val="D8A8649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CCF0E8F"/>
    <w:multiLevelType w:val="hybridMultilevel"/>
    <w:tmpl w:val="6DCCC4C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030472A"/>
    <w:multiLevelType w:val="hybridMultilevel"/>
    <w:tmpl w:val="7D6AAE78"/>
    <w:lvl w:ilvl="0" w:tplc="00BC75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1BE5243"/>
    <w:multiLevelType w:val="multilevel"/>
    <w:tmpl w:val="2900465C"/>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
      <w:lvlJc w:val="left"/>
      <w:pPr>
        <w:tabs>
          <w:tab w:val="num" w:pos="1506"/>
        </w:tabs>
        <w:ind w:left="1506" w:hanging="360"/>
      </w:pPr>
      <w:rPr>
        <w:rFonts w:ascii="Symbol" w:hAnsi="Symbol" w:hint="default"/>
        <w:sz w:val="20"/>
      </w:rPr>
    </w:lvl>
    <w:lvl w:ilvl="2" w:tentative="1">
      <w:start w:val="1"/>
      <w:numFmt w:val="bullet"/>
      <w:lvlText w:val=""/>
      <w:lvlJc w:val="left"/>
      <w:pPr>
        <w:tabs>
          <w:tab w:val="num" w:pos="2226"/>
        </w:tabs>
        <w:ind w:left="2226" w:hanging="360"/>
      </w:pPr>
      <w:rPr>
        <w:rFonts w:ascii="Symbol" w:hAnsi="Symbol" w:hint="default"/>
        <w:sz w:val="20"/>
      </w:rPr>
    </w:lvl>
    <w:lvl w:ilvl="3" w:tentative="1">
      <w:start w:val="1"/>
      <w:numFmt w:val="bullet"/>
      <w:lvlText w:val=""/>
      <w:lvlJc w:val="left"/>
      <w:pPr>
        <w:tabs>
          <w:tab w:val="num" w:pos="2946"/>
        </w:tabs>
        <w:ind w:left="2946" w:hanging="360"/>
      </w:pPr>
      <w:rPr>
        <w:rFonts w:ascii="Symbol" w:hAnsi="Symbol" w:hint="default"/>
        <w:sz w:val="20"/>
      </w:rPr>
    </w:lvl>
    <w:lvl w:ilvl="4" w:tentative="1">
      <w:start w:val="1"/>
      <w:numFmt w:val="bullet"/>
      <w:lvlText w:val=""/>
      <w:lvlJc w:val="left"/>
      <w:pPr>
        <w:tabs>
          <w:tab w:val="num" w:pos="3666"/>
        </w:tabs>
        <w:ind w:left="3666" w:hanging="360"/>
      </w:pPr>
      <w:rPr>
        <w:rFonts w:ascii="Symbol" w:hAnsi="Symbol" w:hint="default"/>
        <w:sz w:val="20"/>
      </w:rPr>
    </w:lvl>
    <w:lvl w:ilvl="5" w:tentative="1">
      <w:start w:val="1"/>
      <w:numFmt w:val="bullet"/>
      <w:lvlText w:val=""/>
      <w:lvlJc w:val="left"/>
      <w:pPr>
        <w:tabs>
          <w:tab w:val="num" w:pos="4386"/>
        </w:tabs>
        <w:ind w:left="4386" w:hanging="360"/>
      </w:pPr>
      <w:rPr>
        <w:rFonts w:ascii="Symbol" w:hAnsi="Symbol" w:hint="default"/>
        <w:sz w:val="20"/>
      </w:rPr>
    </w:lvl>
    <w:lvl w:ilvl="6" w:tentative="1">
      <w:start w:val="1"/>
      <w:numFmt w:val="bullet"/>
      <w:lvlText w:val=""/>
      <w:lvlJc w:val="left"/>
      <w:pPr>
        <w:tabs>
          <w:tab w:val="num" w:pos="5106"/>
        </w:tabs>
        <w:ind w:left="5106" w:hanging="360"/>
      </w:pPr>
      <w:rPr>
        <w:rFonts w:ascii="Symbol" w:hAnsi="Symbol" w:hint="default"/>
        <w:sz w:val="20"/>
      </w:rPr>
    </w:lvl>
    <w:lvl w:ilvl="7" w:tentative="1">
      <w:start w:val="1"/>
      <w:numFmt w:val="bullet"/>
      <w:lvlText w:val=""/>
      <w:lvlJc w:val="left"/>
      <w:pPr>
        <w:tabs>
          <w:tab w:val="num" w:pos="5826"/>
        </w:tabs>
        <w:ind w:left="5826" w:hanging="360"/>
      </w:pPr>
      <w:rPr>
        <w:rFonts w:ascii="Symbol" w:hAnsi="Symbol" w:hint="default"/>
        <w:sz w:val="20"/>
      </w:rPr>
    </w:lvl>
    <w:lvl w:ilvl="8" w:tentative="1">
      <w:start w:val="1"/>
      <w:numFmt w:val="bullet"/>
      <w:lvlText w:val=""/>
      <w:lvlJc w:val="left"/>
      <w:pPr>
        <w:tabs>
          <w:tab w:val="num" w:pos="6546"/>
        </w:tabs>
        <w:ind w:left="6546" w:hanging="360"/>
      </w:pPr>
      <w:rPr>
        <w:rFonts w:ascii="Symbol" w:hAnsi="Symbol" w:hint="default"/>
        <w:sz w:val="20"/>
      </w:rPr>
    </w:lvl>
  </w:abstractNum>
  <w:abstractNum w:abstractNumId="8" w15:restartNumberingAfterBreak="0">
    <w:nsid w:val="19BB6118"/>
    <w:multiLevelType w:val="multilevel"/>
    <w:tmpl w:val="3998D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8D21CD"/>
    <w:multiLevelType w:val="hybridMultilevel"/>
    <w:tmpl w:val="34483D5E"/>
    <w:lvl w:ilvl="0" w:tplc="A42802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FD742D4"/>
    <w:multiLevelType w:val="multilevel"/>
    <w:tmpl w:val="FF782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12950FC"/>
    <w:multiLevelType w:val="hybridMultilevel"/>
    <w:tmpl w:val="2CEEFB3A"/>
    <w:lvl w:ilvl="0" w:tplc="32D21F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217C4190"/>
    <w:multiLevelType w:val="hybridMultilevel"/>
    <w:tmpl w:val="F3242C2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37A29A7"/>
    <w:multiLevelType w:val="hybridMultilevel"/>
    <w:tmpl w:val="F52EA2D2"/>
    <w:lvl w:ilvl="0" w:tplc="CBE4667A">
      <w:start w:val="1"/>
      <w:numFmt w:val="decimal"/>
      <w:lvlText w:val="%1)"/>
      <w:lvlJc w:val="left"/>
      <w:pPr>
        <w:ind w:left="1211" w:hanging="360"/>
      </w:pPr>
      <w:rPr>
        <w:rFonts w:ascii="PT Astra Serif" w:eastAsia="Times New Roman" w:hAnsi="PT Astra Serif" w:cs="Times New Roman"/>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15:restartNumberingAfterBreak="0">
    <w:nsid w:val="23D7194F"/>
    <w:multiLevelType w:val="hybridMultilevel"/>
    <w:tmpl w:val="5018362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5AE2ECB"/>
    <w:multiLevelType w:val="hybridMultilevel"/>
    <w:tmpl w:val="D2D25BFC"/>
    <w:lvl w:ilvl="0" w:tplc="0419000B">
      <w:start w:val="1"/>
      <w:numFmt w:val="bullet"/>
      <w:lvlText w:val=""/>
      <w:lvlJc w:val="left"/>
      <w:pPr>
        <w:ind w:left="896" w:hanging="360"/>
      </w:pPr>
      <w:rPr>
        <w:rFonts w:ascii="Wingdings" w:hAnsi="Wingdings" w:hint="default"/>
      </w:rPr>
    </w:lvl>
    <w:lvl w:ilvl="1" w:tplc="04190003" w:tentative="1">
      <w:start w:val="1"/>
      <w:numFmt w:val="bullet"/>
      <w:lvlText w:val="o"/>
      <w:lvlJc w:val="left"/>
      <w:pPr>
        <w:ind w:left="1616" w:hanging="360"/>
      </w:pPr>
      <w:rPr>
        <w:rFonts w:ascii="Courier New" w:hAnsi="Courier New" w:cs="Courier New" w:hint="default"/>
      </w:rPr>
    </w:lvl>
    <w:lvl w:ilvl="2" w:tplc="04190005" w:tentative="1">
      <w:start w:val="1"/>
      <w:numFmt w:val="bullet"/>
      <w:lvlText w:val=""/>
      <w:lvlJc w:val="left"/>
      <w:pPr>
        <w:ind w:left="2336" w:hanging="360"/>
      </w:pPr>
      <w:rPr>
        <w:rFonts w:ascii="Wingdings" w:hAnsi="Wingdings" w:hint="default"/>
      </w:rPr>
    </w:lvl>
    <w:lvl w:ilvl="3" w:tplc="04190001" w:tentative="1">
      <w:start w:val="1"/>
      <w:numFmt w:val="bullet"/>
      <w:lvlText w:val=""/>
      <w:lvlJc w:val="left"/>
      <w:pPr>
        <w:ind w:left="3056" w:hanging="360"/>
      </w:pPr>
      <w:rPr>
        <w:rFonts w:ascii="Symbol" w:hAnsi="Symbol" w:hint="default"/>
      </w:rPr>
    </w:lvl>
    <w:lvl w:ilvl="4" w:tplc="04190003" w:tentative="1">
      <w:start w:val="1"/>
      <w:numFmt w:val="bullet"/>
      <w:lvlText w:val="o"/>
      <w:lvlJc w:val="left"/>
      <w:pPr>
        <w:ind w:left="3776" w:hanging="360"/>
      </w:pPr>
      <w:rPr>
        <w:rFonts w:ascii="Courier New" w:hAnsi="Courier New" w:cs="Courier New" w:hint="default"/>
      </w:rPr>
    </w:lvl>
    <w:lvl w:ilvl="5" w:tplc="04190005" w:tentative="1">
      <w:start w:val="1"/>
      <w:numFmt w:val="bullet"/>
      <w:lvlText w:val=""/>
      <w:lvlJc w:val="left"/>
      <w:pPr>
        <w:ind w:left="4496" w:hanging="360"/>
      </w:pPr>
      <w:rPr>
        <w:rFonts w:ascii="Wingdings" w:hAnsi="Wingdings" w:hint="default"/>
      </w:rPr>
    </w:lvl>
    <w:lvl w:ilvl="6" w:tplc="04190001" w:tentative="1">
      <w:start w:val="1"/>
      <w:numFmt w:val="bullet"/>
      <w:lvlText w:val=""/>
      <w:lvlJc w:val="left"/>
      <w:pPr>
        <w:ind w:left="5216" w:hanging="360"/>
      </w:pPr>
      <w:rPr>
        <w:rFonts w:ascii="Symbol" w:hAnsi="Symbol" w:hint="default"/>
      </w:rPr>
    </w:lvl>
    <w:lvl w:ilvl="7" w:tplc="04190003" w:tentative="1">
      <w:start w:val="1"/>
      <w:numFmt w:val="bullet"/>
      <w:lvlText w:val="o"/>
      <w:lvlJc w:val="left"/>
      <w:pPr>
        <w:ind w:left="5936" w:hanging="360"/>
      </w:pPr>
      <w:rPr>
        <w:rFonts w:ascii="Courier New" w:hAnsi="Courier New" w:cs="Courier New" w:hint="default"/>
      </w:rPr>
    </w:lvl>
    <w:lvl w:ilvl="8" w:tplc="04190005" w:tentative="1">
      <w:start w:val="1"/>
      <w:numFmt w:val="bullet"/>
      <w:lvlText w:val=""/>
      <w:lvlJc w:val="left"/>
      <w:pPr>
        <w:ind w:left="6656" w:hanging="360"/>
      </w:pPr>
      <w:rPr>
        <w:rFonts w:ascii="Wingdings" w:hAnsi="Wingdings" w:hint="default"/>
      </w:rPr>
    </w:lvl>
  </w:abstractNum>
  <w:abstractNum w:abstractNumId="16" w15:restartNumberingAfterBreak="0">
    <w:nsid w:val="277B4B2C"/>
    <w:multiLevelType w:val="hybridMultilevel"/>
    <w:tmpl w:val="27A07C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7BD2650"/>
    <w:multiLevelType w:val="multilevel"/>
    <w:tmpl w:val="F1026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82849E0"/>
    <w:multiLevelType w:val="hybridMultilevel"/>
    <w:tmpl w:val="933E21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BE05EDC"/>
    <w:multiLevelType w:val="multilevel"/>
    <w:tmpl w:val="EBB2A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00460F"/>
    <w:multiLevelType w:val="multilevel"/>
    <w:tmpl w:val="CB5632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C241635"/>
    <w:multiLevelType w:val="hybridMultilevel"/>
    <w:tmpl w:val="3254490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15:restartNumberingAfterBreak="0">
    <w:nsid w:val="2F0A48C0"/>
    <w:multiLevelType w:val="hybridMultilevel"/>
    <w:tmpl w:val="7398067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3" w15:restartNumberingAfterBreak="0">
    <w:nsid w:val="321C1907"/>
    <w:multiLevelType w:val="hybridMultilevel"/>
    <w:tmpl w:val="AC62DA58"/>
    <w:lvl w:ilvl="0" w:tplc="B3B220E6">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42D50E3"/>
    <w:multiLevelType w:val="hybridMultilevel"/>
    <w:tmpl w:val="BD74895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15:restartNumberingAfterBreak="0">
    <w:nsid w:val="36B62998"/>
    <w:multiLevelType w:val="multilevel"/>
    <w:tmpl w:val="E8966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B031344"/>
    <w:multiLevelType w:val="multilevel"/>
    <w:tmpl w:val="854E8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B446450"/>
    <w:multiLevelType w:val="hybridMultilevel"/>
    <w:tmpl w:val="460CC9D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8" w15:restartNumberingAfterBreak="0">
    <w:nsid w:val="3B7E1F14"/>
    <w:multiLevelType w:val="hybridMultilevel"/>
    <w:tmpl w:val="D9449CC8"/>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3ECB415B"/>
    <w:multiLevelType w:val="hybridMultilevel"/>
    <w:tmpl w:val="20F488D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42FC0460"/>
    <w:multiLevelType w:val="multilevel"/>
    <w:tmpl w:val="FAD430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D184ECE"/>
    <w:multiLevelType w:val="multilevel"/>
    <w:tmpl w:val="144039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10A447A"/>
    <w:multiLevelType w:val="hybridMultilevel"/>
    <w:tmpl w:val="67B2A48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4A15B94"/>
    <w:multiLevelType w:val="hybridMultilevel"/>
    <w:tmpl w:val="0F4E777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50606F4"/>
    <w:multiLevelType w:val="multilevel"/>
    <w:tmpl w:val="EF9E3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88E07C9"/>
    <w:multiLevelType w:val="hybridMultilevel"/>
    <w:tmpl w:val="B5CA818C"/>
    <w:lvl w:ilvl="0" w:tplc="0419000B">
      <w:start w:val="1"/>
      <w:numFmt w:val="bullet"/>
      <w:lvlText w:val=""/>
      <w:lvlJc w:val="left"/>
      <w:pPr>
        <w:ind w:left="754" w:hanging="360"/>
      </w:pPr>
      <w:rPr>
        <w:rFonts w:ascii="Wingdings" w:hAnsi="Wingdings"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36" w15:restartNumberingAfterBreak="0">
    <w:nsid w:val="59294D53"/>
    <w:multiLevelType w:val="hybridMultilevel"/>
    <w:tmpl w:val="71D6B05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5E193209"/>
    <w:multiLevelType w:val="hybridMultilevel"/>
    <w:tmpl w:val="C53061C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E3154DF"/>
    <w:multiLevelType w:val="multilevel"/>
    <w:tmpl w:val="8D2A2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FB6207E"/>
    <w:multiLevelType w:val="hybridMultilevel"/>
    <w:tmpl w:val="FD22904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3904771"/>
    <w:multiLevelType w:val="hybridMultilevel"/>
    <w:tmpl w:val="75F6D418"/>
    <w:lvl w:ilvl="0" w:tplc="0419000B">
      <w:start w:val="1"/>
      <w:numFmt w:val="bullet"/>
      <w:lvlText w:val=""/>
      <w:lvlJc w:val="left"/>
      <w:pPr>
        <w:ind w:left="1174" w:hanging="360"/>
      </w:pPr>
      <w:rPr>
        <w:rFonts w:ascii="Wingdings" w:hAnsi="Wingdings" w:hint="default"/>
      </w:rPr>
    </w:lvl>
    <w:lvl w:ilvl="1" w:tplc="7A9898C4">
      <w:start w:val="1"/>
      <w:numFmt w:val="bullet"/>
      <w:lvlText w:val="o"/>
      <w:lvlJc w:val="left"/>
      <w:pPr>
        <w:ind w:left="1894" w:hanging="360"/>
      </w:pPr>
      <w:rPr>
        <w:rFonts w:ascii="Courier New" w:hAnsi="Courier New" w:cs="Courier New" w:hint="default"/>
      </w:rPr>
    </w:lvl>
    <w:lvl w:ilvl="2" w:tplc="1D886B64">
      <w:start w:val="1"/>
      <w:numFmt w:val="bullet"/>
      <w:lvlText w:val=""/>
      <w:lvlJc w:val="left"/>
      <w:pPr>
        <w:ind w:left="2614" w:hanging="360"/>
      </w:pPr>
      <w:rPr>
        <w:rFonts w:ascii="Wingdings" w:hAnsi="Wingdings" w:hint="default"/>
      </w:rPr>
    </w:lvl>
    <w:lvl w:ilvl="3" w:tplc="3C307F2A">
      <w:start w:val="1"/>
      <w:numFmt w:val="bullet"/>
      <w:lvlText w:val=""/>
      <w:lvlJc w:val="left"/>
      <w:pPr>
        <w:ind w:left="3334" w:hanging="360"/>
      </w:pPr>
      <w:rPr>
        <w:rFonts w:ascii="Symbol" w:hAnsi="Symbol" w:hint="default"/>
      </w:rPr>
    </w:lvl>
    <w:lvl w:ilvl="4" w:tplc="FDAA1CC0">
      <w:start w:val="1"/>
      <w:numFmt w:val="bullet"/>
      <w:lvlText w:val="o"/>
      <w:lvlJc w:val="left"/>
      <w:pPr>
        <w:ind w:left="4054" w:hanging="360"/>
      </w:pPr>
      <w:rPr>
        <w:rFonts w:ascii="Courier New" w:hAnsi="Courier New" w:cs="Courier New" w:hint="default"/>
      </w:rPr>
    </w:lvl>
    <w:lvl w:ilvl="5" w:tplc="34C6F1B6">
      <w:start w:val="1"/>
      <w:numFmt w:val="bullet"/>
      <w:lvlText w:val=""/>
      <w:lvlJc w:val="left"/>
      <w:pPr>
        <w:ind w:left="4774" w:hanging="360"/>
      </w:pPr>
      <w:rPr>
        <w:rFonts w:ascii="Wingdings" w:hAnsi="Wingdings" w:hint="default"/>
      </w:rPr>
    </w:lvl>
    <w:lvl w:ilvl="6" w:tplc="95E86AA4">
      <w:start w:val="1"/>
      <w:numFmt w:val="bullet"/>
      <w:lvlText w:val=""/>
      <w:lvlJc w:val="left"/>
      <w:pPr>
        <w:ind w:left="5494" w:hanging="360"/>
      </w:pPr>
      <w:rPr>
        <w:rFonts w:ascii="Symbol" w:hAnsi="Symbol" w:hint="default"/>
      </w:rPr>
    </w:lvl>
    <w:lvl w:ilvl="7" w:tplc="8D6277DE">
      <w:start w:val="1"/>
      <w:numFmt w:val="bullet"/>
      <w:lvlText w:val="o"/>
      <w:lvlJc w:val="left"/>
      <w:pPr>
        <w:ind w:left="6214" w:hanging="360"/>
      </w:pPr>
      <w:rPr>
        <w:rFonts w:ascii="Courier New" w:hAnsi="Courier New" w:cs="Courier New" w:hint="default"/>
      </w:rPr>
    </w:lvl>
    <w:lvl w:ilvl="8" w:tplc="F7D41D0E">
      <w:start w:val="1"/>
      <w:numFmt w:val="bullet"/>
      <w:lvlText w:val=""/>
      <w:lvlJc w:val="left"/>
      <w:pPr>
        <w:ind w:left="6934" w:hanging="360"/>
      </w:pPr>
      <w:rPr>
        <w:rFonts w:ascii="Wingdings" w:hAnsi="Wingdings" w:hint="default"/>
      </w:rPr>
    </w:lvl>
  </w:abstractNum>
  <w:abstractNum w:abstractNumId="41" w15:restartNumberingAfterBreak="0">
    <w:nsid w:val="68136520"/>
    <w:multiLevelType w:val="hybridMultilevel"/>
    <w:tmpl w:val="A8EC0FDC"/>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15:restartNumberingAfterBreak="0">
    <w:nsid w:val="74D90C21"/>
    <w:multiLevelType w:val="hybridMultilevel"/>
    <w:tmpl w:val="CEF055B4"/>
    <w:lvl w:ilvl="0" w:tplc="9E6E51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15:restartNumberingAfterBreak="0">
    <w:nsid w:val="757A1942"/>
    <w:multiLevelType w:val="hybridMultilevel"/>
    <w:tmpl w:val="BD5CF800"/>
    <w:lvl w:ilvl="0" w:tplc="4DDC4F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15:restartNumberingAfterBreak="0">
    <w:nsid w:val="75A2217D"/>
    <w:multiLevelType w:val="hybridMultilevel"/>
    <w:tmpl w:val="BF5CE0C4"/>
    <w:lvl w:ilvl="0" w:tplc="5636E1D8">
      <w:start w:val="1"/>
      <w:numFmt w:val="bullet"/>
      <w:suff w:val="space"/>
      <w:lvlText w:val=""/>
      <w:lvlJc w:val="left"/>
      <w:pPr>
        <w:ind w:left="0" w:firstLine="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76183BEC"/>
    <w:multiLevelType w:val="hybridMultilevel"/>
    <w:tmpl w:val="D888791C"/>
    <w:lvl w:ilvl="0" w:tplc="CF4068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15:restartNumberingAfterBreak="0">
    <w:nsid w:val="792E2714"/>
    <w:multiLevelType w:val="multilevel"/>
    <w:tmpl w:val="DDBAC4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C7D0B75"/>
    <w:multiLevelType w:val="hybridMultilevel"/>
    <w:tmpl w:val="E72E5C98"/>
    <w:lvl w:ilvl="0" w:tplc="C7E6627C">
      <w:start w:val="1"/>
      <w:numFmt w:val="decimal"/>
      <w:lvlText w:val="%1."/>
      <w:lvlJc w:val="left"/>
      <w:pPr>
        <w:ind w:left="1069" w:hanging="360"/>
      </w:pPr>
      <w:rPr>
        <w:rFonts w:ascii="PT Astra Serif" w:eastAsiaTheme="minorHAnsi" w:hAnsi="PT Astra Serif" w:cstheme="minorBid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0"/>
  </w:num>
  <w:num w:numId="2">
    <w:abstractNumId w:val="44"/>
  </w:num>
  <w:num w:numId="3">
    <w:abstractNumId w:val="29"/>
  </w:num>
  <w:num w:numId="4">
    <w:abstractNumId w:val="5"/>
  </w:num>
  <w:num w:numId="5">
    <w:abstractNumId w:val="12"/>
  </w:num>
  <w:num w:numId="6">
    <w:abstractNumId w:val="33"/>
  </w:num>
  <w:num w:numId="7">
    <w:abstractNumId w:val="36"/>
  </w:num>
  <w:num w:numId="8">
    <w:abstractNumId w:val="23"/>
  </w:num>
  <w:num w:numId="9">
    <w:abstractNumId w:val="24"/>
  </w:num>
  <w:num w:numId="10">
    <w:abstractNumId w:val="18"/>
  </w:num>
  <w:num w:numId="11">
    <w:abstractNumId w:val="35"/>
  </w:num>
  <w:num w:numId="12">
    <w:abstractNumId w:val="47"/>
  </w:num>
  <w:num w:numId="13">
    <w:abstractNumId w:val="14"/>
  </w:num>
  <w:num w:numId="14">
    <w:abstractNumId w:val="1"/>
  </w:num>
  <w:num w:numId="15">
    <w:abstractNumId w:val="41"/>
  </w:num>
  <w:num w:numId="16">
    <w:abstractNumId w:val="28"/>
  </w:num>
  <w:num w:numId="17">
    <w:abstractNumId w:val="19"/>
  </w:num>
  <w:num w:numId="18">
    <w:abstractNumId w:val="8"/>
  </w:num>
  <w:num w:numId="19">
    <w:abstractNumId w:val="15"/>
  </w:num>
  <w:num w:numId="20">
    <w:abstractNumId w:val="4"/>
  </w:num>
  <w:num w:numId="21">
    <w:abstractNumId w:val="32"/>
  </w:num>
  <w:num w:numId="22">
    <w:abstractNumId w:val="27"/>
  </w:num>
  <w:num w:numId="23">
    <w:abstractNumId w:val="39"/>
  </w:num>
  <w:num w:numId="24">
    <w:abstractNumId w:val="3"/>
  </w:num>
  <w:num w:numId="25">
    <w:abstractNumId w:val="0"/>
  </w:num>
  <w:num w:numId="26">
    <w:abstractNumId w:val="30"/>
  </w:num>
  <w:num w:numId="27">
    <w:abstractNumId w:val="26"/>
  </w:num>
  <w:num w:numId="28">
    <w:abstractNumId w:val="38"/>
  </w:num>
  <w:num w:numId="29">
    <w:abstractNumId w:val="31"/>
  </w:num>
  <w:num w:numId="30">
    <w:abstractNumId w:val="22"/>
  </w:num>
  <w:num w:numId="31">
    <w:abstractNumId w:val="17"/>
  </w:num>
  <w:num w:numId="32">
    <w:abstractNumId w:val="46"/>
  </w:num>
  <w:num w:numId="33">
    <w:abstractNumId w:val="34"/>
  </w:num>
  <w:num w:numId="34">
    <w:abstractNumId w:val="21"/>
  </w:num>
  <w:num w:numId="35">
    <w:abstractNumId w:val="20"/>
  </w:num>
  <w:num w:numId="36">
    <w:abstractNumId w:val="7"/>
  </w:num>
  <w:num w:numId="37">
    <w:abstractNumId w:val="10"/>
  </w:num>
  <w:num w:numId="38">
    <w:abstractNumId w:val="25"/>
  </w:num>
  <w:num w:numId="39">
    <w:abstractNumId w:val="2"/>
  </w:num>
  <w:num w:numId="40">
    <w:abstractNumId w:val="45"/>
  </w:num>
  <w:num w:numId="41">
    <w:abstractNumId w:val="16"/>
  </w:num>
  <w:num w:numId="42">
    <w:abstractNumId w:val="13"/>
  </w:num>
  <w:num w:numId="43">
    <w:abstractNumId w:val="6"/>
  </w:num>
  <w:num w:numId="44">
    <w:abstractNumId w:val="9"/>
  </w:num>
  <w:num w:numId="45">
    <w:abstractNumId w:val="37"/>
  </w:num>
  <w:num w:numId="46">
    <w:abstractNumId w:val="42"/>
  </w:num>
  <w:num w:numId="47">
    <w:abstractNumId w:val="43"/>
  </w:num>
  <w:num w:numId="48">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DCD"/>
    <w:rsid w:val="000001C1"/>
    <w:rsid w:val="00000BE0"/>
    <w:rsid w:val="0000214C"/>
    <w:rsid w:val="00003135"/>
    <w:rsid w:val="00003ADE"/>
    <w:rsid w:val="000046C6"/>
    <w:rsid w:val="00005671"/>
    <w:rsid w:val="00007510"/>
    <w:rsid w:val="00007A44"/>
    <w:rsid w:val="00011CB4"/>
    <w:rsid w:val="0001220B"/>
    <w:rsid w:val="00012C87"/>
    <w:rsid w:val="0001352D"/>
    <w:rsid w:val="00013DCE"/>
    <w:rsid w:val="00014D33"/>
    <w:rsid w:val="00015388"/>
    <w:rsid w:val="00017DE7"/>
    <w:rsid w:val="00020F3E"/>
    <w:rsid w:val="000221BC"/>
    <w:rsid w:val="0002324E"/>
    <w:rsid w:val="00023749"/>
    <w:rsid w:val="000246AA"/>
    <w:rsid w:val="00025D3E"/>
    <w:rsid w:val="00026596"/>
    <w:rsid w:val="00027281"/>
    <w:rsid w:val="00027C2B"/>
    <w:rsid w:val="000308F1"/>
    <w:rsid w:val="00030B27"/>
    <w:rsid w:val="00030D26"/>
    <w:rsid w:val="00031749"/>
    <w:rsid w:val="0003187F"/>
    <w:rsid w:val="00033143"/>
    <w:rsid w:val="00034180"/>
    <w:rsid w:val="00035C1B"/>
    <w:rsid w:val="00035E2F"/>
    <w:rsid w:val="00035F38"/>
    <w:rsid w:val="000360D5"/>
    <w:rsid w:val="00036360"/>
    <w:rsid w:val="00036AB0"/>
    <w:rsid w:val="00037B40"/>
    <w:rsid w:val="00040022"/>
    <w:rsid w:val="000408BD"/>
    <w:rsid w:val="00040AEE"/>
    <w:rsid w:val="00042857"/>
    <w:rsid w:val="000434C6"/>
    <w:rsid w:val="00043B3E"/>
    <w:rsid w:val="0004417B"/>
    <w:rsid w:val="00044734"/>
    <w:rsid w:val="00045286"/>
    <w:rsid w:val="00045E6F"/>
    <w:rsid w:val="00046629"/>
    <w:rsid w:val="000476B3"/>
    <w:rsid w:val="0005000D"/>
    <w:rsid w:val="00050677"/>
    <w:rsid w:val="000518E3"/>
    <w:rsid w:val="0005210B"/>
    <w:rsid w:val="0005281E"/>
    <w:rsid w:val="00052F58"/>
    <w:rsid w:val="00053886"/>
    <w:rsid w:val="000540F0"/>
    <w:rsid w:val="00054E79"/>
    <w:rsid w:val="000556C0"/>
    <w:rsid w:val="0005586C"/>
    <w:rsid w:val="00055B9E"/>
    <w:rsid w:val="00056560"/>
    <w:rsid w:val="000608F7"/>
    <w:rsid w:val="00061066"/>
    <w:rsid w:val="00061284"/>
    <w:rsid w:val="000620CF"/>
    <w:rsid w:val="00064EC4"/>
    <w:rsid w:val="00065330"/>
    <w:rsid w:val="000653CF"/>
    <w:rsid w:val="0006715D"/>
    <w:rsid w:val="00067932"/>
    <w:rsid w:val="00071BA9"/>
    <w:rsid w:val="00072DBE"/>
    <w:rsid w:val="00074C33"/>
    <w:rsid w:val="00075B6A"/>
    <w:rsid w:val="00075E8E"/>
    <w:rsid w:val="0007630E"/>
    <w:rsid w:val="000765C9"/>
    <w:rsid w:val="000767A7"/>
    <w:rsid w:val="0008032D"/>
    <w:rsid w:val="00080526"/>
    <w:rsid w:val="0008276A"/>
    <w:rsid w:val="0008443D"/>
    <w:rsid w:val="00084570"/>
    <w:rsid w:val="00084AE6"/>
    <w:rsid w:val="000859DB"/>
    <w:rsid w:val="00086830"/>
    <w:rsid w:val="00086F19"/>
    <w:rsid w:val="00090385"/>
    <w:rsid w:val="0009040B"/>
    <w:rsid w:val="000928F1"/>
    <w:rsid w:val="000930C6"/>
    <w:rsid w:val="000939D1"/>
    <w:rsid w:val="0009406E"/>
    <w:rsid w:val="0009431D"/>
    <w:rsid w:val="00094A57"/>
    <w:rsid w:val="00094FBA"/>
    <w:rsid w:val="0009516C"/>
    <w:rsid w:val="000969E8"/>
    <w:rsid w:val="000A03FE"/>
    <w:rsid w:val="000A0489"/>
    <w:rsid w:val="000A06B8"/>
    <w:rsid w:val="000A1290"/>
    <w:rsid w:val="000A133E"/>
    <w:rsid w:val="000A2E47"/>
    <w:rsid w:val="000A3446"/>
    <w:rsid w:val="000A3453"/>
    <w:rsid w:val="000A37C4"/>
    <w:rsid w:val="000A4170"/>
    <w:rsid w:val="000A41B8"/>
    <w:rsid w:val="000A68C3"/>
    <w:rsid w:val="000A6D20"/>
    <w:rsid w:val="000A783D"/>
    <w:rsid w:val="000A7F91"/>
    <w:rsid w:val="000B0CC2"/>
    <w:rsid w:val="000B0D74"/>
    <w:rsid w:val="000B1E08"/>
    <w:rsid w:val="000B1E18"/>
    <w:rsid w:val="000B3666"/>
    <w:rsid w:val="000B3974"/>
    <w:rsid w:val="000B44D6"/>
    <w:rsid w:val="000B79FA"/>
    <w:rsid w:val="000C0502"/>
    <w:rsid w:val="000C0E69"/>
    <w:rsid w:val="000C0EC1"/>
    <w:rsid w:val="000C2BE9"/>
    <w:rsid w:val="000C37C5"/>
    <w:rsid w:val="000C3E78"/>
    <w:rsid w:val="000C5986"/>
    <w:rsid w:val="000C650D"/>
    <w:rsid w:val="000C7167"/>
    <w:rsid w:val="000C76DD"/>
    <w:rsid w:val="000D010A"/>
    <w:rsid w:val="000D06DA"/>
    <w:rsid w:val="000D1905"/>
    <w:rsid w:val="000D21DB"/>
    <w:rsid w:val="000D28DB"/>
    <w:rsid w:val="000D2E5D"/>
    <w:rsid w:val="000D2F1E"/>
    <w:rsid w:val="000D381D"/>
    <w:rsid w:val="000D5193"/>
    <w:rsid w:val="000D60B9"/>
    <w:rsid w:val="000D705F"/>
    <w:rsid w:val="000D7713"/>
    <w:rsid w:val="000E08A7"/>
    <w:rsid w:val="000E09D5"/>
    <w:rsid w:val="000E0AB6"/>
    <w:rsid w:val="000E1183"/>
    <w:rsid w:val="000E2261"/>
    <w:rsid w:val="000E2F39"/>
    <w:rsid w:val="000E30A0"/>
    <w:rsid w:val="000E3F56"/>
    <w:rsid w:val="000E4B16"/>
    <w:rsid w:val="000E5D42"/>
    <w:rsid w:val="000F0229"/>
    <w:rsid w:val="000F0339"/>
    <w:rsid w:val="000F0B6F"/>
    <w:rsid w:val="000F2559"/>
    <w:rsid w:val="000F7763"/>
    <w:rsid w:val="000F7AAB"/>
    <w:rsid w:val="00100DE9"/>
    <w:rsid w:val="0010174C"/>
    <w:rsid w:val="00102067"/>
    <w:rsid w:val="00103637"/>
    <w:rsid w:val="00103C17"/>
    <w:rsid w:val="00105636"/>
    <w:rsid w:val="00106DE1"/>
    <w:rsid w:val="001111A5"/>
    <w:rsid w:val="00111241"/>
    <w:rsid w:val="00111605"/>
    <w:rsid w:val="00112060"/>
    <w:rsid w:val="001121CC"/>
    <w:rsid w:val="00112C7F"/>
    <w:rsid w:val="0011331F"/>
    <w:rsid w:val="00113788"/>
    <w:rsid w:val="00114117"/>
    <w:rsid w:val="0011437B"/>
    <w:rsid w:val="00114F99"/>
    <w:rsid w:val="00115EB4"/>
    <w:rsid w:val="00116086"/>
    <w:rsid w:val="001165C8"/>
    <w:rsid w:val="00116641"/>
    <w:rsid w:val="00117F98"/>
    <w:rsid w:val="00121B86"/>
    <w:rsid w:val="00122CC6"/>
    <w:rsid w:val="00123706"/>
    <w:rsid w:val="00123DB0"/>
    <w:rsid w:val="00126387"/>
    <w:rsid w:val="001268A4"/>
    <w:rsid w:val="00126B48"/>
    <w:rsid w:val="00127A24"/>
    <w:rsid w:val="00127E29"/>
    <w:rsid w:val="00130028"/>
    <w:rsid w:val="001301A5"/>
    <w:rsid w:val="001305B2"/>
    <w:rsid w:val="00131DAF"/>
    <w:rsid w:val="00131FAA"/>
    <w:rsid w:val="0013340F"/>
    <w:rsid w:val="0013442A"/>
    <w:rsid w:val="00134EC3"/>
    <w:rsid w:val="00134ED2"/>
    <w:rsid w:val="001351FA"/>
    <w:rsid w:val="001377FB"/>
    <w:rsid w:val="00141176"/>
    <w:rsid w:val="001411F0"/>
    <w:rsid w:val="00141A9B"/>
    <w:rsid w:val="00144152"/>
    <w:rsid w:val="00144660"/>
    <w:rsid w:val="00145E7F"/>
    <w:rsid w:val="00146576"/>
    <w:rsid w:val="0014716C"/>
    <w:rsid w:val="00150ED4"/>
    <w:rsid w:val="001515AD"/>
    <w:rsid w:val="001519C8"/>
    <w:rsid w:val="00153B04"/>
    <w:rsid w:val="00154A1C"/>
    <w:rsid w:val="00154FE4"/>
    <w:rsid w:val="00156A28"/>
    <w:rsid w:val="00157E62"/>
    <w:rsid w:val="0016123D"/>
    <w:rsid w:val="00163250"/>
    <w:rsid w:val="0016385B"/>
    <w:rsid w:val="001648AD"/>
    <w:rsid w:val="00165FE7"/>
    <w:rsid w:val="00166BA8"/>
    <w:rsid w:val="00166CE1"/>
    <w:rsid w:val="001675D9"/>
    <w:rsid w:val="00167B92"/>
    <w:rsid w:val="00167C5D"/>
    <w:rsid w:val="001711A7"/>
    <w:rsid w:val="00172238"/>
    <w:rsid w:val="00173035"/>
    <w:rsid w:val="0017326B"/>
    <w:rsid w:val="0017474F"/>
    <w:rsid w:val="0017548F"/>
    <w:rsid w:val="00175547"/>
    <w:rsid w:val="00175623"/>
    <w:rsid w:val="00177A4A"/>
    <w:rsid w:val="00177D5D"/>
    <w:rsid w:val="00180E62"/>
    <w:rsid w:val="00181650"/>
    <w:rsid w:val="00181A55"/>
    <w:rsid w:val="00181EDB"/>
    <w:rsid w:val="00184621"/>
    <w:rsid w:val="00184773"/>
    <w:rsid w:val="00184B39"/>
    <w:rsid w:val="00185363"/>
    <w:rsid w:val="00185BDB"/>
    <w:rsid w:val="00186060"/>
    <w:rsid w:val="00186956"/>
    <w:rsid w:val="00186AB5"/>
    <w:rsid w:val="00186AD9"/>
    <w:rsid w:val="00186E9F"/>
    <w:rsid w:val="001900FB"/>
    <w:rsid w:val="001909AA"/>
    <w:rsid w:val="00190C4A"/>
    <w:rsid w:val="00192A70"/>
    <w:rsid w:val="00194980"/>
    <w:rsid w:val="00195329"/>
    <w:rsid w:val="001955D0"/>
    <w:rsid w:val="00195C6D"/>
    <w:rsid w:val="00195FBE"/>
    <w:rsid w:val="00196686"/>
    <w:rsid w:val="00196BCB"/>
    <w:rsid w:val="00196FA0"/>
    <w:rsid w:val="0019722D"/>
    <w:rsid w:val="001973B2"/>
    <w:rsid w:val="0019793F"/>
    <w:rsid w:val="001A1263"/>
    <w:rsid w:val="001A2406"/>
    <w:rsid w:val="001A335A"/>
    <w:rsid w:val="001A3C18"/>
    <w:rsid w:val="001A4050"/>
    <w:rsid w:val="001A40E0"/>
    <w:rsid w:val="001A5ED2"/>
    <w:rsid w:val="001A62BC"/>
    <w:rsid w:val="001A7693"/>
    <w:rsid w:val="001B09B6"/>
    <w:rsid w:val="001B1CC7"/>
    <w:rsid w:val="001B1D42"/>
    <w:rsid w:val="001B34E8"/>
    <w:rsid w:val="001B4F2C"/>
    <w:rsid w:val="001B6010"/>
    <w:rsid w:val="001B6394"/>
    <w:rsid w:val="001B66D6"/>
    <w:rsid w:val="001B6FCD"/>
    <w:rsid w:val="001C0B11"/>
    <w:rsid w:val="001C12C0"/>
    <w:rsid w:val="001C1400"/>
    <w:rsid w:val="001C1D6E"/>
    <w:rsid w:val="001C2FC6"/>
    <w:rsid w:val="001C3A05"/>
    <w:rsid w:val="001C3B77"/>
    <w:rsid w:val="001C6B13"/>
    <w:rsid w:val="001C6D95"/>
    <w:rsid w:val="001C716F"/>
    <w:rsid w:val="001D2635"/>
    <w:rsid w:val="001D2FE6"/>
    <w:rsid w:val="001D415A"/>
    <w:rsid w:val="001D59F8"/>
    <w:rsid w:val="001D6BD4"/>
    <w:rsid w:val="001D7540"/>
    <w:rsid w:val="001E15BD"/>
    <w:rsid w:val="001E1C22"/>
    <w:rsid w:val="001E20C0"/>
    <w:rsid w:val="001E25C6"/>
    <w:rsid w:val="001E2998"/>
    <w:rsid w:val="001E2BD7"/>
    <w:rsid w:val="001E2CCA"/>
    <w:rsid w:val="001E3CA8"/>
    <w:rsid w:val="001E4146"/>
    <w:rsid w:val="001E4671"/>
    <w:rsid w:val="001E484A"/>
    <w:rsid w:val="001E5ABC"/>
    <w:rsid w:val="001E5D83"/>
    <w:rsid w:val="001E6CEB"/>
    <w:rsid w:val="001E7CBC"/>
    <w:rsid w:val="001F096F"/>
    <w:rsid w:val="001F1A65"/>
    <w:rsid w:val="001F5914"/>
    <w:rsid w:val="00202938"/>
    <w:rsid w:val="00202E19"/>
    <w:rsid w:val="002059DA"/>
    <w:rsid w:val="00205C81"/>
    <w:rsid w:val="002067E1"/>
    <w:rsid w:val="0021013D"/>
    <w:rsid w:val="00210B9A"/>
    <w:rsid w:val="002119E5"/>
    <w:rsid w:val="00212282"/>
    <w:rsid w:val="002131BD"/>
    <w:rsid w:val="002137F1"/>
    <w:rsid w:val="00213B0D"/>
    <w:rsid w:val="00213B12"/>
    <w:rsid w:val="00216071"/>
    <w:rsid w:val="00216354"/>
    <w:rsid w:val="00216EFC"/>
    <w:rsid w:val="00217169"/>
    <w:rsid w:val="002174C3"/>
    <w:rsid w:val="0021772E"/>
    <w:rsid w:val="002204D7"/>
    <w:rsid w:val="0022227A"/>
    <w:rsid w:val="00222D60"/>
    <w:rsid w:val="0022318A"/>
    <w:rsid w:val="00223D14"/>
    <w:rsid w:val="00224715"/>
    <w:rsid w:val="00224B58"/>
    <w:rsid w:val="00224BC4"/>
    <w:rsid w:val="002263CF"/>
    <w:rsid w:val="002265E7"/>
    <w:rsid w:val="00226DDD"/>
    <w:rsid w:val="00230283"/>
    <w:rsid w:val="00231335"/>
    <w:rsid w:val="002316E7"/>
    <w:rsid w:val="00231B51"/>
    <w:rsid w:val="00232C5B"/>
    <w:rsid w:val="00237455"/>
    <w:rsid w:val="0023768F"/>
    <w:rsid w:val="00240AF6"/>
    <w:rsid w:val="00240E43"/>
    <w:rsid w:val="00245AAC"/>
    <w:rsid w:val="0024728C"/>
    <w:rsid w:val="00250DDA"/>
    <w:rsid w:val="0025214C"/>
    <w:rsid w:val="00252736"/>
    <w:rsid w:val="002529DB"/>
    <w:rsid w:val="00252B77"/>
    <w:rsid w:val="00252C5B"/>
    <w:rsid w:val="00252DB2"/>
    <w:rsid w:val="00253367"/>
    <w:rsid w:val="00257041"/>
    <w:rsid w:val="00257D19"/>
    <w:rsid w:val="0026019C"/>
    <w:rsid w:val="0026045E"/>
    <w:rsid w:val="002614F8"/>
    <w:rsid w:val="00262568"/>
    <w:rsid w:val="002625AF"/>
    <w:rsid w:val="00262983"/>
    <w:rsid w:val="002631C1"/>
    <w:rsid w:val="002632F5"/>
    <w:rsid w:val="002638F9"/>
    <w:rsid w:val="00263A6C"/>
    <w:rsid w:val="00263F66"/>
    <w:rsid w:val="00265101"/>
    <w:rsid w:val="00265491"/>
    <w:rsid w:val="00265D56"/>
    <w:rsid w:val="00266234"/>
    <w:rsid w:val="0027078E"/>
    <w:rsid w:val="002707B0"/>
    <w:rsid w:val="00272290"/>
    <w:rsid w:val="0027257F"/>
    <w:rsid w:val="002727C9"/>
    <w:rsid w:val="00272A2C"/>
    <w:rsid w:val="002735CE"/>
    <w:rsid w:val="00273B26"/>
    <w:rsid w:val="00273D7E"/>
    <w:rsid w:val="00275FD6"/>
    <w:rsid w:val="002761AF"/>
    <w:rsid w:val="0027717C"/>
    <w:rsid w:val="002802B5"/>
    <w:rsid w:val="0028311F"/>
    <w:rsid w:val="00283C81"/>
    <w:rsid w:val="00284298"/>
    <w:rsid w:val="00284B55"/>
    <w:rsid w:val="002922E5"/>
    <w:rsid w:val="002924E3"/>
    <w:rsid w:val="00293B19"/>
    <w:rsid w:val="00293BB3"/>
    <w:rsid w:val="00296831"/>
    <w:rsid w:val="002968D9"/>
    <w:rsid w:val="00296BC3"/>
    <w:rsid w:val="00296D91"/>
    <w:rsid w:val="00297318"/>
    <w:rsid w:val="00297EBD"/>
    <w:rsid w:val="002A0910"/>
    <w:rsid w:val="002A2206"/>
    <w:rsid w:val="002A3B52"/>
    <w:rsid w:val="002A3BCF"/>
    <w:rsid w:val="002A435D"/>
    <w:rsid w:val="002A5F9A"/>
    <w:rsid w:val="002A67E4"/>
    <w:rsid w:val="002A6C26"/>
    <w:rsid w:val="002B0859"/>
    <w:rsid w:val="002B181B"/>
    <w:rsid w:val="002B1E1F"/>
    <w:rsid w:val="002B2A77"/>
    <w:rsid w:val="002B2E8B"/>
    <w:rsid w:val="002B47B0"/>
    <w:rsid w:val="002B51D7"/>
    <w:rsid w:val="002B53A2"/>
    <w:rsid w:val="002B7802"/>
    <w:rsid w:val="002B79EB"/>
    <w:rsid w:val="002C02F1"/>
    <w:rsid w:val="002C090F"/>
    <w:rsid w:val="002C0DE9"/>
    <w:rsid w:val="002C1003"/>
    <w:rsid w:val="002C123B"/>
    <w:rsid w:val="002C1287"/>
    <w:rsid w:val="002C158E"/>
    <w:rsid w:val="002C1C15"/>
    <w:rsid w:val="002C24FD"/>
    <w:rsid w:val="002C4186"/>
    <w:rsid w:val="002D027E"/>
    <w:rsid w:val="002D28E8"/>
    <w:rsid w:val="002D2CE9"/>
    <w:rsid w:val="002D31E4"/>
    <w:rsid w:val="002D4585"/>
    <w:rsid w:val="002D49FD"/>
    <w:rsid w:val="002D5456"/>
    <w:rsid w:val="002D5EB7"/>
    <w:rsid w:val="002D6CDE"/>
    <w:rsid w:val="002E03D4"/>
    <w:rsid w:val="002E0F4D"/>
    <w:rsid w:val="002E1C2B"/>
    <w:rsid w:val="002E2E5F"/>
    <w:rsid w:val="002E3384"/>
    <w:rsid w:val="002E36C0"/>
    <w:rsid w:val="002E4ADD"/>
    <w:rsid w:val="002E6688"/>
    <w:rsid w:val="002E6C73"/>
    <w:rsid w:val="002E6E78"/>
    <w:rsid w:val="002E7226"/>
    <w:rsid w:val="002E7DB1"/>
    <w:rsid w:val="002F0B0F"/>
    <w:rsid w:val="002F28F3"/>
    <w:rsid w:val="002F29BD"/>
    <w:rsid w:val="002F2BF1"/>
    <w:rsid w:val="002F33B7"/>
    <w:rsid w:val="002F3D72"/>
    <w:rsid w:val="002F4953"/>
    <w:rsid w:val="002F4A35"/>
    <w:rsid w:val="002F4C39"/>
    <w:rsid w:val="002F5E29"/>
    <w:rsid w:val="00300D8A"/>
    <w:rsid w:val="00301007"/>
    <w:rsid w:val="00301760"/>
    <w:rsid w:val="00302051"/>
    <w:rsid w:val="0030223B"/>
    <w:rsid w:val="0030283C"/>
    <w:rsid w:val="003036CE"/>
    <w:rsid w:val="003036DC"/>
    <w:rsid w:val="0030502B"/>
    <w:rsid w:val="0030528E"/>
    <w:rsid w:val="00306026"/>
    <w:rsid w:val="003064B5"/>
    <w:rsid w:val="003064CF"/>
    <w:rsid w:val="003110C8"/>
    <w:rsid w:val="003120EE"/>
    <w:rsid w:val="00312145"/>
    <w:rsid w:val="003122E0"/>
    <w:rsid w:val="0031286A"/>
    <w:rsid w:val="00312A52"/>
    <w:rsid w:val="00312B94"/>
    <w:rsid w:val="00313788"/>
    <w:rsid w:val="0031449B"/>
    <w:rsid w:val="003146A8"/>
    <w:rsid w:val="00314DD4"/>
    <w:rsid w:val="00315370"/>
    <w:rsid w:val="00317221"/>
    <w:rsid w:val="00320A58"/>
    <w:rsid w:val="00320F7D"/>
    <w:rsid w:val="003218D8"/>
    <w:rsid w:val="00322006"/>
    <w:rsid w:val="00322D0C"/>
    <w:rsid w:val="00323E61"/>
    <w:rsid w:val="00323FBB"/>
    <w:rsid w:val="00325AC3"/>
    <w:rsid w:val="003266FF"/>
    <w:rsid w:val="003269A6"/>
    <w:rsid w:val="0032732E"/>
    <w:rsid w:val="00330494"/>
    <w:rsid w:val="00330828"/>
    <w:rsid w:val="003321A6"/>
    <w:rsid w:val="00334388"/>
    <w:rsid w:val="00335D82"/>
    <w:rsid w:val="003361DD"/>
    <w:rsid w:val="00336C3A"/>
    <w:rsid w:val="003375FA"/>
    <w:rsid w:val="003377EF"/>
    <w:rsid w:val="00340502"/>
    <w:rsid w:val="00340A88"/>
    <w:rsid w:val="00340D3D"/>
    <w:rsid w:val="0034127C"/>
    <w:rsid w:val="003415E6"/>
    <w:rsid w:val="00341DAA"/>
    <w:rsid w:val="00341E8C"/>
    <w:rsid w:val="003438DE"/>
    <w:rsid w:val="003439E3"/>
    <w:rsid w:val="003443CE"/>
    <w:rsid w:val="0034449F"/>
    <w:rsid w:val="0034481C"/>
    <w:rsid w:val="003466FC"/>
    <w:rsid w:val="003516AB"/>
    <w:rsid w:val="00353BBA"/>
    <w:rsid w:val="0035588B"/>
    <w:rsid w:val="00355B40"/>
    <w:rsid w:val="003560AD"/>
    <w:rsid w:val="0035622B"/>
    <w:rsid w:val="00356668"/>
    <w:rsid w:val="003567DB"/>
    <w:rsid w:val="00357426"/>
    <w:rsid w:val="00363395"/>
    <w:rsid w:val="0036352B"/>
    <w:rsid w:val="00363E11"/>
    <w:rsid w:val="00363F89"/>
    <w:rsid w:val="00364116"/>
    <w:rsid w:val="003661E9"/>
    <w:rsid w:val="0036661F"/>
    <w:rsid w:val="00366857"/>
    <w:rsid w:val="00366B8E"/>
    <w:rsid w:val="003674FB"/>
    <w:rsid w:val="003679FF"/>
    <w:rsid w:val="0037258B"/>
    <w:rsid w:val="00373625"/>
    <w:rsid w:val="00376586"/>
    <w:rsid w:val="00377255"/>
    <w:rsid w:val="00377B0B"/>
    <w:rsid w:val="00377F03"/>
    <w:rsid w:val="00380711"/>
    <w:rsid w:val="003814C3"/>
    <w:rsid w:val="003818EC"/>
    <w:rsid w:val="00382286"/>
    <w:rsid w:val="00382E6F"/>
    <w:rsid w:val="00382FDB"/>
    <w:rsid w:val="003839C4"/>
    <w:rsid w:val="00383BCC"/>
    <w:rsid w:val="003855E0"/>
    <w:rsid w:val="003856BC"/>
    <w:rsid w:val="003860D4"/>
    <w:rsid w:val="003860E5"/>
    <w:rsid w:val="003879C9"/>
    <w:rsid w:val="00390DCC"/>
    <w:rsid w:val="00391087"/>
    <w:rsid w:val="00391B96"/>
    <w:rsid w:val="00392699"/>
    <w:rsid w:val="003927C8"/>
    <w:rsid w:val="003935E1"/>
    <w:rsid w:val="00393BDD"/>
    <w:rsid w:val="00393C22"/>
    <w:rsid w:val="00394952"/>
    <w:rsid w:val="003953EA"/>
    <w:rsid w:val="00396A19"/>
    <w:rsid w:val="00397ABA"/>
    <w:rsid w:val="00397D35"/>
    <w:rsid w:val="003A027E"/>
    <w:rsid w:val="003A055D"/>
    <w:rsid w:val="003A15F9"/>
    <w:rsid w:val="003A1FE7"/>
    <w:rsid w:val="003A2489"/>
    <w:rsid w:val="003A4B8F"/>
    <w:rsid w:val="003A7E4F"/>
    <w:rsid w:val="003B0483"/>
    <w:rsid w:val="003B0B38"/>
    <w:rsid w:val="003B1F25"/>
    <w:rsid w:val="003B2118"/>
    <w:rsid w:val="003B2D13"/>
    <w:rsid w:val="003B2D72"/>
    <w:rsid w:val="003B48F7"/>
    <w:rsid w:val="003B4D6D"/>
    <w:rsid w:val="003B520C"/>
    <w:rsid w:val="003B57FC"/>
    <w:rsid w:val="003B5B9B"/>
    <w:rsid w:val="003B6F66"/>
    <w:rsid w:val="003B7D8A"/>
    <w:rsid w:val="003C03F8"/>
    <w:rsid w:val="003C0478"/>
    <w:rsid w:val="003C0751"/>
    <w:rsid w:val="003C1AE4"/>
    <w:rsid w:val="003C2DBC"/>
    <w:rsid w:val="003C38D9"/>
    <w:rsid w:val="003C403D"/>
    <w:rsid w:val="003C4B5A"/>
    <w:rsid w:val="003C530F"/>
    <w:rsid w:val="003C584C"/>
    <w:rsid w:val="003C58FA"/>
    <w:rsid w:val="003C5F0C"/>
    <w:rsid w:val="003C623F"/>
    <w:rsid w:val="003C65ED"/>
    <w:rsid w:val="003C6C2A"/>
    <w:rsid w:val="003C7016"/>
    <w:rsid w:val="003C7027"/>
    <w:rsid w:val="003D0BF1"/>
    <w:rsid w:val="003D0F85"/>
    <w:rsid w:val="003D1773"/>
    <w:rsid w:val="003D21B6"/>
    <w:rsid w:val="003D453F"/>
    <w:rsid w:val="003D468B"/>
    <w:rsid w:val="003D4E8A"/>
    <w:rsid w:val="003D50B6"/>
    <w:rsid w:val="003D5533"/>
    <w:rsid w:val="003D59CB"/>
    <w:rsid w:val="003D7D5D"/>
    <w:rsid w:val="003E00D6"/>
    <w:rsid w:val="003E0F5C"/>
    <w:rsid w:val="003E1AD0"/>
    <w:rsid w:val="003E1E85"/>
    <w:rsid w:val="003E234C"/>
    <w:rsid w:val="003E483D"/>
    <w:rsid w:val="003E4989"/>
    <w:rsid w:val="003E4DBD"/>
    <w:rsid w:val="003E60F9"/>
    <w:rsid w:val="003E6A05"/>
    <w:rsid w:val="003E6CFF"/>
    <w:rsid w:val="003E7A55"/>
    <w:rsid w:val="003E7F5A"/>
    <w:rsid w:val="003F14D0"/>
    <w:rsid w:val="003F1AC7"/>
    <w:rsid w:val="003F4702"/>
    <w:rsid w:val="003F4895"/>
    <w:rsid w:val="003F4CC9"/>
    <w:rsid w:val="003F4F05"/>
    <w:rsid w:val="003F5C9C"/>
    <w:rsid w:val="003F6D86"/>
    <w:rsid w:val="003F6E86"/>
    <w:rsid w:val="003F6EE2"/>
    <w:rsid w:val="003F781B"/>
    <w:rsid w:val="003F7EF2"/>
    <w:rsid w:val="004000FE"/>
    <w:rsid w:val="004003B9"/>
    <w:rsid w:val="00400E80"/>
    <w:rsid w:val="0040103B"/>
    <w:rsid w:val="00401EB0"/>
    <w:rsid w:val="00403CEE"/>
    <w:rsid w:val="00403F0E"/>
    <w:rsid w:val="004046AA"/>
    <w:rsid w:val="00404D27"/>
    <w:rsid w:val="00404DD4"/>
    <w:rsid w:val="004057AF"/>
    <w:rsid w:val="00405BE3"/>
    <w:rsid w:val="00406E26"/>
    <w:rsid w:val="004070BA"/>
    <w:rsid w:val="00410051"/>
    <w:rsid w:val="00411F54"/>
    <w:rsid w:val="00412172"/>
    <w:rsid w:val="00412BCA"/>
    <w:rsid w:val="00413421"/>
    <w:rsid w:val="0041383A"/>
    <w:rsid w:val="00415F69"/>
    <w:rsid w:val="00416400"/>
    <w:rsid w:val="00417310"/>
    <w:rsid w:val="0042009C"/>
    <w:rsid w:val="0042060B"/>
    <w:rsid w:val="00420622"/>
    <w:rsid w:val="0042169D"/>
    <w:rsid w:val="00421B9F"/>
    <w:rsid w:val="00421C6B"/>
    <w:rsid w:val="004224F3"/>
    <w:rsid w:val="004244D3"/>
    <w:rsid w:val="00424666"/>
    <w:rsid w:val="00425FB1"/>
    <w:rsid w:val="0042757F"/>
    <w:rsid w:val="00427A21"/>
    <w:rsid w:val="0043003C"/>
    <w:rsid w:val="00430161"/>
    <w:rsid w:val="004307D9"/>
    <w:rsid w:val="004313D9"/>
    <w:rsid w:val="004335C4"/>
    <w:rsid w:val="00433752"/>
    <w:rsid w:val="004339A7"/>
    <w:rsid w:val="00433D3C"/>
    <w:rsid w:val="004367B7"/>
    <w:rsid w:val="00437731"/>
    <w:rsid w:val="00437E84"/>
    <w:rsid w:val="004432E9"/>
    <w:rsid w:val="0044333F"/>
    <w:rsid w:val="00444FDD"/>
    <w:rsid w:val="00445AEA"/>
    <w:rsid w:val="004479CF"/>
    <w:rsid w:val="004500DC"/>
    <w:rsid w:val="00450C71"/>
    <w:rsid w:val="00450DDF"/>
    <w:rsid w:val="004517B0"/>
    <w:rsid w:val="00451A34"/>
    <w:rsid w:val="004525E5"/>
    <w:rsid w:val="0045294F"/>
    <w:rsid w:val="00453843"/>
    <w:rsid w:val="00453B4E"/>
    <w:rsid w:val="0045404F"/>
    <w:rsid w:val="00456173"/>
    <w:rsid w:val="004562AE"/>
    <w:rsid w:val="00456913"/>
    <w:rsid w:val="0045748D"/>
    <w:rsid w:val="00457D59"/>
    <w:rsid w:val="00460C80"/>
    <w:rsid w:val="00461B4C"/>
    <w:rsid w:val="00461BAC"/>
    <w:rsid w:val="00461F25"/>
    <w:rsid w:val="004630B2"/>
    <w:rsid w:val="00463D35"/>
    <w:rsid w:val="0046444F"/>
    <w:rsid w:val="0046455C"/>
    <w:rsid w:val="004662BF"/>
    <w:rsid w:val="0047006A"/>
    <w:rsid w:val="004712AA"/>
    <w:rsid w:val="004712E9"/>
    <w:rsid w:val="00471405"/>
    <w:rsid w:val="004714DF"/>
    <w:rsid w:val="0047229D"/>
    <w:rsid w:val="00472FB4"/>
    <w:rsid w:val="0047337F"/>
    <w:rsid w:val="00474487"/>
    <w:rsid w:val="00475F76"/>
    <w:rsid w:val="0047754E"/>
    <w:rsid w:val="00480971"/>
    <w:rsid w:val="00481903"/>
    <w:rsid w:val="004841D4"/>
    <w:rsid w:val="0048428A"/>
    <w:rsid w:val="004842B1"/>
    <w:rsid w:val="00484FF7"/>
    <w:rsid w:val="0048686E"/>
    <w:rsid w:val="00487BB3"/>
    <w:rsid w:val="00487CBA"/>
    <w:rsid w:val="00490284"/>
    <w:rsid w:val="00490DED"/>
    <w:rsid w:val="00491654"/>
    <w:rsid w:val="00491840"/>
    <w:rsid w:val="00492638"/>
    <w:rsid w:val="00493FB3"/>
    <w:rsid w:val="0049434B"/>
    <w:rsid w:val="00494421"/>
    <w:rsid w:val="00494CE0"/>
    <w:rsid w:val="00495731"/>
    <w:rsid w:val="004963A4"/>
    <w:rsid w:val="00496812"/>
    <w:rsid w:val="00496975"/>
    <w:rsid w:val="004A0698"/>
    <w:rsid w:val="004A1B19"/>
    <w:rsid w:val="004A2AA3"/>
    <w:rsid w:val="004A5838"/>
    <w:rsid w:val="004A5C38"/>
    <w:rsid w:val="004A629A"/>
    <w:rsid w:val="004A670D"/>
    <w:rsid w:val="004A6823"/>
    <w:rsid w:val="004B1143"/>
    <w:rsid w:val="004B1E4F"/>
    <w:rsid w:val="004B2287"/>
    <w:rsid w:val="004B268F"/>
    <w:rsid w:val="004B2A64"/>
    <w:rsid w:val="004B339B"/>
    <w:rsid w:val="004B693D"/>
    <w:rsid w:val="004B7275"/>
    <w:rsid w:val="004B7E5E"/>
    <w:rsid w:val="004C0341"/>
    <w:rsid w:val="004C07A8"/>
    <w:rsid w:val="004C0DEB"/>
    <w:rsid w:val="004C144C"/>
    <w:rsid w:val="004C2350"/>
    <w:rsid w:val="004C4CB2"/>
    <w:rsid w:val="004C564F"/>
    <w:rsid w:val="004C5898"/>
    <w:rsid w:val="004C5D2B"/>
    <w:rsid w:val="004C6CBD"/>
    <w:rsid w:val="004D0029"/>
    <w:rsid w:val="004D1360"/>
    <w:rsid w:val="004D17A4"/>
    <w:rsid w:val="004D19BF"/>
    <w:rsid w:val="004D1AE4"/>
    <w:rsid w:val="004D1C5B"/>
    <w:rsid w:val="004D1DC5"/>
    <w:rsid w:val="004D213F"/>
    <w:rsid w:val="004D3100"/>
    <w:rsid w:val="004D440B"/>
    <w:rsid w:val="004D499B"/>
    <w:rsid w:val="004D4B6F"/>
    <w:rsid w:val="004D51E6"/>
    <w:rsid w:val="004D64EB"/>
    <w:rsid w:val="004E1310"/>
    <w:rsid w:val="004E1B22"/>
    <w:rsid w:val="004E3351"/>
    <w:rsid w:val="004E35E4"/>
    <w:rsid w:val="004E513E"/>
    <w:rsid w:val="004E6600"/>
    <w:rsid w:val="004E7184"/>
    <w:rsid w:val="004E7202"/>
    <w:rsid w:val="004F0861"/>
    <w:rsid w:val="004F0D29"/>
    <w:rsid w:val="004F1468"/>
    <w:rsid w:val="004F1533"/>
    <w:rsid w:val="004F245C"/>
    <w:rsid w:val="004F3392"/>
    <w:rsid w:val="004F4797"/>
    <w:rsid w:val="004F6353"/>
    <w:rsid w:val="004F74F8"/>
    <w:rsid w:val="004F7C7B"/>
    <w:rsid w:val="00500972"/>
    <w:rsid w:val="005017E7"/>
    <w:rsid w:val="00501DCD"/>
    <w:rsid w:val="00502633"/>
    <w:rsid w:val="00504059"/>
    <w:rsid w:val="005044BE"/>
    <w:rsid w:val="00504791"/>
    <w:rsid w:val="00505F56"/>
    <w:rsid w:val="005075DF"/>
    <w:rsid w:val="00507E25"/>
    <w:rsid w:val="00507FDB"/>
    <w:rsid w:val="00511E02"/>
    <w:rsid w:val="005131C8"/>
    <w:rsid w:val="00513CB4"/>
    <w:rsid w:val="00515A2D"/>
    <w:rsid w:val="00515D45"/>
    <w:rsid w:val="00515E2E"/>
    <w:rsid w:val="0051643B"/>
    <w:rsid w:val="00516478"/>
    <w:rsid w:val="0051650E"/>
    <w:rsid w:val="00516A2B"/>
    <w:rsid w:val="00516C75"/>
    <w:rsid w:val="00516F63"/>
    <w:rsid w:val="00517AA7"/>
    <w:rsid w:val="0052072B"/>
    <w:rsid w:val="00520FDD"/>
    <w:rsid w:val="0052132E"/>
    <w:rsid w:val="005213DA"/>
    <w:rsid w:val="00522264"/>
    <w:rsid w:val="00523883"/>
    <w:rsid w:val="00523DDC"/>
    <w:rsid w:val="00523F69"/>
    <w:rsid w:val="0052412A"/>
    <w:rsid w:val="00525A94"/>
    <w:rsid w:val="00526ED4"/>
    <w:rsid w:val="00527886"/>
    <w:rsid w:val="00527C2A"/>
    <w:rsid w:val="00531AE3"/>
    <w:rsid w:val="00531ECA"/>
    <w:rsid w:val="00531FB2"/>
    <w:rsid w:val="005323F7"/>
    <w:rsid w:val="00532684"/>
    <w:rsid w:val="00532AF6"/>
    <w:rsid w:val="0053474E"/>
    <w:rsid w:val="00534B02"/>
    <w:rsid w:val="00536491"/>
    <w:rsid w:val="00536AB3"/>
    <w:rsid w:val="0053719C"/>
    <w:rsid w:val="00540152"/>
    <w:rsid w:val="00540C54"/>
    <w:rsid w:val="005416BC"/>
    <w:rsid w:val="00543187"/>
    <w:rsid w:val="00543997"/>
    <w:rsid w:val="00543ACE"/>
    <w:rsid w:val="005445EF"/>
    <w:rsid w:val="00544B1E"/>
    <w:rsid w:val="005451CD"/>
    <w:rsid w:val="0054573D"/>
    <w:rsid w:val="00546467"/>
    <w:rsid w:val="005470EE"/>
    <w:rsid w:val="00550841"/>
    <w:rsid w:val="005517B8"/>
    <w:rsid w:val="005527AB"/>
    <w:rsid w:val="00553A4B"/>
    <w:rsid w:val="0055429F"/>
    <w:rsid w:val="00554312"/>
    <w:rsid w:val="00556DB6"/>
    <w:rsid w:val="0056055E"/>
    <w:rsid w:val="00560DD8"/>
    <w:rsid w:val="00562FF5"/>
    <w:rsid w:val="00563536"/>
    <w:rsid w:val="005637BC"/>
    <w:rsid w:val="00563F75"/>
    <w:rsid w:val="0056428B"/>
    <w:rsid w:val="005643E7"/>
    <w:rsid w:val="00565473"/>
    <w:rsid w:val="0056608B"/>
    <w:rsid w:val="00566170"/>
    <w:rsid w:val="0056640D"/>
    <w:rsid w:val="00571497"/>
    <w:rsid w:val="005723A3"/>
    <w:rsid w:val="005746A8"/>
    <w:rsid w:val="0057706D"/>
    <w:rsid w:val="00577AEA"/>
    <w:rsid w:val="00577F8C"/>
    <w:rsid w:val="00580E56"/>
    <w:rsid w:val="005816AF"/>
    <w:rsid w:val="00581A52"/>
    <w:rsid w:val="00581FDB"/>
    <w:rsid w:val="00582239"/>
    <w:rsid w:val="005828A6"/>
    <w:rsid w:val="00582FD6"/>
    <w:rsid w:val="00583E5E"/>
    <w:rsid w:val="00583FAE"/>
    <w:rsid w:val="005849EA"/>
    <w:rsid w:val="00584D51"/>
    <w:rsid w:val="00584F3F"/>
    <w:rsid w:val="00585203"/>
    <w:rsid w:val="005853CD"/>
    <w:rsid w:val="00586ABB"/>
    <w:rsid w:val="00587F75"/>
    <w:rsid w:val="0059008B"/>
    <w:rsid w:val="00590ED3"/>
    <w:rsid w:val="0059129A"/>
    <w:rsid w:val="005921A0"/>
    <w:rsid w:val="00592626"/>
    <w:rsid w:val="00593300"/>
    <w:rsid w:val="0059382A"/>
    <w:rsid w:val="00593F9C"/>
    <w:rsid w:val="00596222"/>
    <w:rsid w:val="00596D7C"/>
    <w:rsid w:val="00597465"/>
    <w:rsid w:val="005A0277"/>
    <w:rsid w:val="005A04CF"/>
    <w:rsid w:val="005A0EB1"/>
    <w:rsid w:val="005A10D7"/>
    <w:rsid w:val="005A2607"/>
    <w:rsid w:val="005A2B59"/>
    <w:rsid w:val="005A372C"/>
    <w:rsid w:val="005A4594"/>
    <w:rsid w:val="005A5ACD"/>
    <w:rsid w:val="005A5BB2"/>
    <w:rsid w:val="005A7181"/>
    <w:rsid w:val="005B04BB"/>
    <w:rsid w:val="005B2712"/>
    <w:rsid w:val="005B3E7E"/>
    <w:rsid w:val="005B3F16"/>
    <w:rsid w:val="005B4B2B"/>
    <w:rsid w:val="005B4C80"/>
    <w:rsid w:val="005B4F17"/>
    <w:rsid w:val="005B5192"/>
    <w:rsid w:val="005B53CB"/>
    <w:rsid w:val="005B5D41"/>
    <w:rsid w:val="005B6043"/>
    <w:rsid w:val="005B676D"/>
    <w:rsid w:val="005B67BA"/>
    <w:rsid w:val="005B68B0"/>
    <w:rsid w:val="005B724B"/>
    <w:rsid w:val="005B72EC"/>
    <w:rsid w:val="005B7316"/>
    <w:rsid w:val="005C1778"/>
    <w:rsid w:val="005C2226"/>
    <w:rsid w:val="005C4AB4"/>
    <w:rsid w:val="005C53FD"/>
    <w:rsid w:val="005C6B8A"/>
    <w:rsid w:val="005C7CED"/>
    <w:rsid w:val="005D0E88"/>
    <w:rsid w:val="005D0EB8"/>
    <w:rsid w:val="005D0F6C"/>
    <w:rsid w:val="005D1B76"/>
    <w:rsid w:val="005D20ED"/>
    <w:rsid w:val="005D2168"/>
    <w:rsid w:val="005D2CDD"/>
    <w:rsid w:val="005D3BE1"/>
    <w:rsid w:val="005D4178"/>
    <w:rsid w:val="005D43EB"/>
    <w:rsid w:val="005D497E"/>
    <w:rsid w:val="005D4B0F"/>
    <w:rsid w:val="005D55B2"/>
    <w:rsid w:val="005D7A2A"/>
    <w:rsid w:val="005E0417"/>
    <w:rsid w:val="005E18C2"/>
    <w:rsid w:val="005E335D"/>
    <w:rsid w:val="005E3384"/>
    <w:rsid w:val="005E3A84"/>
    <w:rsid w:val="005E3FB1"/>
    <w:rsid w:val="005E4511"/>
    <w:rsid w:val="005E4D4C"/>
    <w:rsid w:val="005E4EB8"/>
    <w:rsid w:val="005E5913"/>
    <w:rsid w:val="005E60AB"/>
    <w:rsid w:val="005E65D4"/>
    <w:rsid w:val="005E7ED9"/>
    <w:rsid w:val="005F03A4"/>
    <w:rsid w:val="005F1C5C"/>
    <w:rsid w:val="005F22D9"/>
    <w:rsid w:val="005F3D20"/>
    <w:rsid w:val="005F41D6"/>
    <w:rsid w:val="005F44FC"/>
    <w:rsid w:val="005F4A8F"/>
    <w:rsid w:val="005F5E8A"/>
    <w:rsid w:val="005F5F1A"/>
    <w:rsid w:val="005F6BD9"/>
    <w:rsid w:val="005F73F3"/>
    <w:rsid w:val="005F79C0"/>
    <w:rsid w:val="005F7D65"/>
    <w:rsid w:val="005F7F4F"/>
    <w:rsid w:val="00600833"/>
    <w:rsid w:val="00600D1A"/>
    <w:rsid w:val="00601CAA"/>
    <w:rsid w:val="00604365"/>
    <w:rsid w:val="00604589"/>
    <w:rsid w:val="00605F99"/>
    <w:rsid w:val="00605FFE"/>
    <w:rsid w:val="00606136"/>
    <w:rsid w:val="00607E5E"/>
    <w:rsid w:val="00610592"/>
    <w:rsid w:val="00610F63"/>
    <w:rsid w:val="00611888"/>
    <w:rsid w:val="00611F8F"/>
    <w:rsid w:val="0061234A"/>
    <w:rsid w:val="00613A5B"/>
    <w:rsid w:val="00614049"/>
    <w:rsid w:val="0061451F"/>
    <w:rsid w:val="006158E4"/>
    <w:rsid w:val="00617D15"/>
    <w:rsid w:val="00617ED2"/>
    <w:rsid w:val="00622D78"/>
    <w:rsid w:val="006247A1"/>
    <w:rsid w:val="006249D8"/>
    <w:rsid w:val="00624D35"/>
    <w:rsid w:val="006269A2"/>
    <w:rsid w:val="00630004"/>
    <w:rsid w:val="0063021D"/>
    <w:rsid w:val="00630CC6"/>
    <w:rsid w:val="0063129A"/>
    <w:rsid w:val="00631694"/>
    <w:rsid w:val="00632078"/>
    <w:rsid w:val="00632915"/>
    <w:rsid w:val="00633103"/>
    <w:rsid w:val="00633D40"/>
    <w:rsid w:val="00634CFD"/>
    <w:rsid w:val="0063617E"/>
    <w:rsid w:val="006362BC"/>
    <w:rsid w:val="00636897"/>
    <w:rsid w:val="00637685"/>
    <w:rsid w:val="00637A7A"/>
    <w:rsid w:val="00637EED"/>
    <w:rsid w:val="00641F48"/>
    <w:rsid w:val="00641FEE"/>
    <w:rsid w:val="00642AB8"/>
    <w:rsid w:val="00643C13"/>
    <w:rsid w:val="006441A0"/>
    <w:rsid w:val="006451E3"/>
    <w:rsid w:val="00645937"/>
    <w:rsid w:val="00646DF1"/>
    <w:rsid w:val="00647379"/>
    <w:rsid w:val="00650060"/>
    <w:rsid w:val="00650A23"/>
    <w:rsid w:val="0065185A"/>
    <w:rsid w:val="00652DE2"/>
    <w:rsid w:val="006534C6"/>
    <w:rsid w:val="006539D0"/>
    <w:rsid w:val="00653A2D"/>
    <w:rsid w:val="00654F68"/>
    <w:rsid w:val="00657573"/>
    <w:rsid w:val="006608C9"/>
    <w:rsid w:val="00660DB7"/>
    <w:rsid w:val="0066171B"/>
    <w:rsid w:val="0066234E"/>
    <w:rsid w:val="0066269C"/>
    <w:rsid w:val="00662C98"/>
    <w:rsid w:val="00664FDA"/>
    <w:rsid w:val="00665534"/>
    <w:rsid w:val="006669EF"/>
    <w:rsid w:val="0067034A"/>
    <w:rsid w:val="0067049C"/>
    <w:rsid w:val="006705D6"/>
    <w:rsid w:val="00670EA5"/>
    <w:rsid w:val="00671B28"/>
    <w:rsid w:val="00671D7D"/>
    <w:rsid w:val="006722A4"/>
    <w:rsid w:val="0067360E"/>
    <w:rsid w:val="00673C63"/>
    <w:rsid w:val="00674051"/>
    <w:rsid w:val="00674E9E"/>
    <w:rsid w:val="006754B8"/>
    <w:rsid w:val="006776E8"/>
    <w:rsid w:val="00677C8B"/>
    <w:rsid w:val="00681CF2"/>
    <w:rsid w:val="00682830"/>
    <w:rsid w:val="0068289B"/>
    <w:rsid w:val="00683067"/>
    <w:rsid w:val="00684B78"/>
    <w:rsid w:val="006856CB"/>
    <w:rsid w:val="006857EE"/>
    <w:rsid w:val="00685D75"/>
    <w:rsid w:val="0068696D"/>
    <w:rsid w:val="006879A3"/>
    <w:rsid w:val="006911D1"/>
    <w:rsid w:val="00691B54"/>
    <w:rsid w:val="00692060"/>
    <w:rsid w:val="00692DAA"/>
    <w:rsid w:val="00693381"/>
    <w:rsid w:val="00693D80"/>
    <w:rsid w:val="0069420D"/>
    <w:rsid w:val="00694E3B"/>
    <w:rsid w:val="0069555B"/>
    <w:rsid w:val="00695565"/>
    <w:rsid w:val="00695C73"/>
    <w:rsid w:val="00696357"/>
    <w:rsid w:val="00697466"/>
    <w:rsid w:val="00697496"/>
    <w:rsid w:val="006A0066"/>
    <w:rsid w:val="006A057C"/>
    <w:rsid w:val="006A0B90"/>
    <w:rsid w:val="006A0C9D"/>
    <w:rsid w:val="006A1EC0"/>
    <w:rsid w:val="006A2774"/>
    <w:rsid w:val="006A3775"/>
    <w:rsid w:val="006A3D62"/>
    <w:rsid w:val="006A4D62"/>
    <w:rsid w:val="006A5297"/>
    <w:rsid w:val="006A598C"/>
    <w:rsid w:val="006A5D87"/>
    <w:rsid w:val="006A62E7"/>
    <w:rsid w:val="006B05D1"/>
    <w:rsid w:val="006B241F"/>
    <w:rsid w:val="006B33CF"/>
    <w:rsid w:val="006B342E"/>
    <w:rsid w:val="006B3540"/>
    <w:rsid w:val="006B3FC4"/>
    <w:rsid w:val="006B4FD9"/>
    <w:rsid w:val="006B551A"/>
    <w:rsid w:val="006B560C"/>
    <w:rsid w:val="006B5F52"/>
    <w:rsid w:val="006B7346"/>
    <w:rsid w:val="006B7729"/>
    <w:rsid w:val="006B7CDD"/>
    <w:rsid w:val="006B7ED1"/>
    <w:rsid w:val="006C0517"/>
    <w:rsid w:val="006C15B3"/>
    <w:rsid w:val="006C3424"/>
    <w:rsid w:val="006C3B37"/>
    <w:rsid w:val="006C3B54"/>
    <w:rsid w:val="006C444F"/>
    <w:rsid w:val="006C4682"/>
    <w:rsid w:val="006C70F3"/>
    <w:rsid w:val="006D000E"/>
    <w:rsid w:val="006D037C"/>
    <w:rsid w:val="006D06FA"/>
    <w:rsid w:val="006D0742"/>
    <w:rsid w:val="006D09FE"/>
    <w:rsid w:val="006D3C84"/>
    <w:rsid w:val="006D5900"/>
    <w:rsid w:val="006D61BB"/>
    <w:rsid w:val="006D6CF6"/>
    <w:rsid w:val="006D743B"/>
    <w:rsid w:val="006D7527"/>
    <w:rsid w:val="006D7DD9"/>
    <w:rsid w:val="006E008D"/>
    <w:rsid w:val="006E03E3"/>
    <w:rsid w:val="006E117D"/>
    <w:rsid w:val="006E1221"/>
    <w:rsid w:val="006E1A51"/>
    <w:rsid w:val="006E1E9A"/>
    <w:rsid w:val="006E1F0F"/>
    <w:rsid w:val="006E332D"/>
    <w:rsid w:val="006E4595"/>
    <w:rsid w:val="006E4E01"/>
    <w:rsid w:val="006E74AF"/>
    <w:rsid w:val="006E7E9D"/>
    <w:rsid w:val="006F12DB"/>
    <w:rsid w:val="006F1394"/>
    <w:rsid w:val="006F1DCD"/>
    <w:rsid w:val="006F36F9"/>
    <w:rsid w:val="006F3DAF"/>
    <w:rsid w:val="006F5C5C"/>
    <w:rsid w:val="006F5DC3"/>
    <w:rsid w:val="006F6BA4"/>
    <w:rsid w:val="006F743B"/>
    <w:rsid w:val="007002CB"/>
    <w:rsid w:val="0070073C"/>
    <w:rsid w:val="00700C29"/>
    <w:rsid w:val="00700DF1"/>
    <w:rsid w:val="0070110A"/>
    <w:rsid w:val="00701818"/>
    <w:rsid w:val="00704A81"/>
    <w:rsid w:val="0070542C"/>
    <w:rsid w:val="00705F8B"/>
    <w:rsid w:val="0070600A"/>
    <w:rsid w:val="00706B75"/>
    <w:rsid w:val="00706C8C"/>
    <w:rsid w:val="00706E3E"/>
    <w:rsid w:val="007075C5"/>
    <w:rsid w:val="0071058F"/>
    <w:rsid w:val="007105DC"/>
    <w:rsid w:val="007107B7"/>
    <w:rsid w:val="00711130"/>
    <w:rsid w:val="00711D9A"/>
    <w:rsid w:val="00711EC9"/>
    <w:rsid w:val="00712496"/>
    <w:rsid w:val="007139D3"/>
    <w:rsid w:val="00714354"/>
    <w:rsid w:val="00714904"/>
    <w:rsid w:val="00716216"/>
    <w:rsid w:val="00717496"/>
    <w:rsid w:val="007219CC"/>
    <w:rsid w:val="00721B39"/>
    <w:rsid w:val="00721B49"/>
    <w:rsid w:val="00722D7A"/>
    <w:rsid w:val="00723048"/>
    <w:rsid w:val="00723A71"/>
    <w:rsid w:val="00725FFE"/>
    <w:rsid w:val="00726175"/>
    <w:rsid w:val="00727317"/>
    <w:rsid w:val="00727427"/>
    <w:rsid w:val="00727683"/>
    <w:rsid w:val="0072771B"/>
    <w:rsid w:val="0073000B"/>
    <w:rsid w:val="0073026B"/>
    <w:rsid w:val="0073047B"/>
    <w:rsid w:val="00730FC6"/>
    <w:rsid w:val="00730FF1"/>
    <w:rsid w:val="00731C3A"/>
    <w:rsid w:val="0073235F"/>
    <w:rsid w:val="0073278E"/>
    <w:rsid w:val="00734BBA"/>
    <w:rsid w:val="0073508A"/>
    <w:rsid w:val="007352FD"/>
    <w:rsid w:val="00735593"/>
    <w:rsid w:val="00735A53"/>
    <w:rsid w:val="007364AB"/>
    <w:rsid w:val="00737473"/>
    <w:rsid w:val="007376C2"/>
    <w:rsid w:val="00737CD0"/>
    <w:rsid w:val="007408F5"/>
    <w:rsid w:val="00741093"/>
    <w:rsid w:val="00742491"/>
    <w:rsid w:val="007432DC"/>
    <w:rsid w:val="007446DC"/>
    <w:rsid w:val="00744F57"/>
    <w:rsid w:val="00745C27"/>
    <w:rsid w:val="007462C5"/>
    <w:rsid w:val="00746470"/>
    <w:rsid w:val="00746EEC"/>
    <w:rsid w:val="00750BF4"/>
    <w:rsid w:val="00751E16"/>
    <w:rsid w:val="007522D3"/>
    <w:rsid w:val="00754DFA"/>
    <w:rsid w:val="00756874"/>
    <w:rsid w:val="00763563"/>
    <w:rsid w:val="007635C8"/>
    <w:rsid w:val="00764188"/>
    <w:rsid w:val="00764687"/>
    <w:rsid w:val="0076685C"/>
    <w:rsid w:val="0076692D"/>
    <w:rsid w:val="00766A96"/>
    <w:rsid w:val="00766ADB"/>
    <w:rsid w:val="0076759E"/>
    <w:rsid w:val="007704D1"/>
    <w:rsid w:val="00770C93"/>
    <w:rsid w:val="00772058"/>
    <w:rsid w:val="007722A9"/>
    <w:rsid w:val="00772A1D"/>
    <w:rsid w:val="007738E9"/>
    <w:rsid w:val="00773FCF"/>
    <w:rsid w:val="0077450F"/>
    <w:rsid w:val="0077480F"/>
    <w:rsid w:val="00774DD1"/>
    <w:rsid w:val="00775446"/>
    <w:rsid w:val="00775A47"/>
    <w:rsid w:val="00775E74"/>
    <w:rsid w:val="0077603A"/>
    <w:rsid w:val="00777341"/>
    <w:rsid w:val="00777BAF"/>
    <w:rsid w:val="00777F5C"/>
    <w:rsid w:val="007806DD"/>
    <w:rsid w:val="00782EAD"/>
    <w:rsid w:val="007833D5"/>
    <w:rsid w:val="007851EF"/>
    <w:rsid w:val="00786917"/>
    <w:rsid w:val="00786C80"/>
    <w:rsid w:val="00786D6B"/>
    <w:rsid w:val="00787CBE"/>
    <w:rsid w:val="00787FAF"/>
    <w:rsid w:val="0079090D"/>
    <w:rsid w:val="00791513"/>
    <w:rsid w:val="00791859"/>
    <w:rsid w:val="00791AA3"/>
    <w:rsid w:val="00792BF3"/>
    <w:rsid w:val="00792DA8"/>
    <w:rsid w:val="00793E9A"/>
    <w:rsid w:val="00794039"/>
    <w:rsid w:val="00795BB6"/>
    <w:rsid w:val="0079607F"/>
    <w:rsid w:val="007969DC"/>
    <w:rsid w:val="007975E1"/>
    <w:rsid w:val="007A07A9"/>
    <w:rsid w:val="007A22B5"/>
    <w:rsid w:val="007A32E8"/>
    <w:rsid w:val="007A3A5A"/>
    <w:rsid w:val="007A43B0"/>
    <w:rsid w:val="007A56E4"/>
    <w:rsid w:val="007A7BFC"/>
    <w:rsid w:val="007B0944"/>
    <w:rsid w:val="007B0A52"/>
    <w:rsid w:val="007B0FFA"/>
    <w:rsid w:val="007B1587"/>
    <w:rsid w:val="007B1B56"/>
    <w:rsid w:val="007B1EDF"/>
    <w:rsid w:val="007B1F1D"/>
    <w:rsid w:val="007B229E"/>
    <w:rsid w:val="007B241E"/>
    <w:rsid w:val="007B2478"/>
    <w:rsid w:val="007B2D99"/>
    <w:rsid w:val="007B3395"/>
    <w:rsid w:val="007B35E2"/>
    <w:rsid w:val="007B4FA5"/>
    <w:rsid w:val="007B5412"/>
    <w:rsid w:val="007C0784"/>
    <w:rsid w:val="007C17EB"/>
    <w:rsid w:val="007C183D"/>
    <w:rsid w:val="007C20FA"/>
    <w:rsid w:val="007C231E"/>
    <w:rsid w:val="007C24A1"/>
    <w:rsid w:val="007C25A1"/>
    <w:rsid w:val="007C25A2"/>
    <w:rsid w:val="007C2AC1"/>
    <w:rsid w:val="007C2D90"/>
    <w:rsid w:val="007C3A83"/>
    <w:rsid w:val="007C49AF"/>
    <w:rsid w:val="007C49C7"/>
    <w:rsid w:val="007C4ECA"/>
    <w:rsid w:val="007C5552"/>
    <w:rsid w:val="007C578C"/>
    <w:rsid w:val="007C645B"/>
    <w:rsid w:val="007C645C"/>
    <w:rsid w:val="007C6788"/>
    <w:rsid w:val="007C6E91"/>
    <w:rsid w:val="007C70A6"/>
    <w:rsid w:val="007D028F"/>
    <w:rsid w:val="007D0D98"/>
    <w:rsid w:val="007D11E4"/>
    <w:rsid w:val="007D12DA"/>
    <w:rsid w:val="007D1659"/>
    <w:rsid w:val="007D16F5"/>
    <w:rsid w:val="007D181A"/>
    <w:rsid w:val="007D276A"/>
    <w:rsid w:val="007D2910"/>
    <w:rsid w:val="007D2EA1"/>
    <w:rsid w:val="007D327A"/>
    <w:rsid w:val="007D3346"/>
    <w:rsid w:val="007D4525"/>
    <w:rsid w:val="007D6667"/>
    <w:rsid w:val="007D75AF"/>
    <w:rsid w:val="007D7783"/>
    <w:rsid w:val="007D78E8"/>
    <w:rsid w:val="007E0133"/>
    <w:rsid w:val="007E1BA0"/>
    <w:rsid w:val="007E20BC"/>
    <w:rsid w:val="007E2129"/>
    <w:rsid w:val="007E28AE"/>
    <w:rsid w:val="007E3133"/>
    <w:rsid w:val="007E36C1"/>
    <w:rsid w:val="007E45CC"/>
    <w:rsid w:val="007E557F"/>
    <w:rsid w:val="007E74B3"/>
    <w:rsid w:val="007F16AB"/>
    <w:rsid w:val="007F1F49"/>
    <w:rsid w:val="007F22A9"/>
    <w:rsid w:val="007F26F9"/>
    <w:rsid w:val="007F274D"/>
    <w:rsid w:val="007F4F31"/>
    <w:rsid w:val="007F4F3D"/>
    <w:rsid w:val="007F6794"/>
    <w:rsid w:val="007F74D0"/>
    <w:rsid w:val="00801B3E"/>
    <w:rsid w:val="0080332F"/>
    <w:rsid w:val="00803F3E"/>
    <w:rsid w:val="00804C90"/>
    <w:rsid w:val="00806264"/>
    <w:rsid w:val="008067BF"/>
    <w:rsid w:val="00806884"/>
    <w:rsid w:val="00807230"/>
    <w:rsid w:val="008079B7"/>
    <w:rsid w:val="00807A0A"/>
    <w:rsid w:val="008117F4"/>
    <w:rsid w:val="008124CD"/>
    <w:rsid w:val="00812DB2"/>
    <w:rsid w:val="00813838"/>
    <w:rsid w:val="008166BE"/>
    <w:rsid w:val="0082093F"/>
    <w:rsid w:val="00820E7A"/>
    <w:rsid w:val="00822650"/>
    <w:rsid w:val="00822832"/>
    <w:rsid w:val="008228A3"/>
    <w:rsid w:val="00822B5A"/>
    <w:rsid w:val="00824A45"/>
    <w:rsid w:val="00824DFA"/>
    <w:rsid w:val="008257CC"/>
    <w:rsid w:val="008257EF"/>
    <w:rsid w:val="008259E8"/>
    <w:rsid w:val="00825CDB"/>
    <w:rsid w:val="0082684A"/>
    <w:rsid w:val="008270D8"/>
    <w:rsid w:val="008271C3"/>
    <w:rsid w:val="00827678"/>
    <w:rsid w:val="00832DA4"/>
    <w:rsid w:val="008334FF"/>
    <w:rsid w:val="00833FAB"/>
    <w:rsid w:val="00834210"/>
    <w:rsid w:val="0083536E"/>
    <w:rsid w:val="0083566E"/>
    <w:rsid w:val="00836A5B"/>
    <w:rsid w:val="00837768"/>
    <w:rsid w:val="00837EF1"/>
    <w:rsid w:val="00837F5E"/>
    <w:rsid w:val="0084070A"/>
    <w:rsid w:val="008418D3"/>
    <w:rsid w:val="008425A1"/>
    <w:rsid w:val="008430AE"/>
    <w:rsid w:val="00843603"/>
    <w:rsid w:val="008438FF"/>
    <w:rsid w:val="00843C8F"/>
    <w:rsid w:val="00843DDF"/>
    <w:rsid w:val="0084467D"/>
    <w:rsid w:val="008447D9"/>
    <w:rsid w:val="008448D1"/>
    <w:rsid w:val="00844B91"/>
    <w:rsid w:val="00845544"/>
    <w:rsid w:val="00846775"/>
    <w:rsid w:val="00850ACD"/>
    <w:rsid w:val="0085192E"/>
    <w:rsid w:val="00851C57"/>
    <w:rsid w:val="00852157"/>
    <w:rsid w:val="00852AFF"/>
    <w:rsid w:val="00852C73"/>
    <w:rsid w:val="0085346E"/>
    <w:rsid w:val="00853CCD"/>
    <w:rsid w:val="00855BDB"/>
    <w:rsid w:val="0085737C"/>
    <w:rsid w:val="008576AF"/>
    <w:rsid w:val="00857B92"/>
    <w:rsid w:val="00857F96"/>
    <w:rsid w:val="00862014"/>
    <w:rsid w:val="008629BD"/>
    <w:rsid w:val="00863207"/>
    <w:rsid w:val="00863359"/>
    <w:rsid w:val="008633F0"/>
    <w:rsid w:val="0086340D"/>
    <w:rsid w:val="00863592"/>
    <w:rsid w:val="00865B53"/>
    <w:rsid w:val="008660D4"/>
    <w:rsid w:val="0086650F"/>
    <w:rsid w:val="008672BD"/>
    <w:rsid w:val="00867D81"/>
    <w:rsid w:val="00870DED"/>
    <w:rsid w:val="008714C0"/>
    <w:rsid w:val="00873DE5"/>
    <w:rsid w:val="0087582F"/>
    <w:rsid w:val="00875BBC"/>
    <w:rsid w:val="008769FD"/>
    <w:rsid w:val="00877E1E"/>
    <w:rsid w:val="008802D7"/>
    <w:rsid w:val="00880C65"/>
    <w:rsid w:val="00881BDA"/>
    <w:rsid w:val="00882F03"/>
    <w:rsid w:val="0088315B"/>
    <w:rsid w:val="00884252"/>
    <w:rsid w:val="0088471B"/>
    <w:rsid w:val="00884BE9"/>
    <w:rsid w:val="0088511B"/>
    <w:rsid w:val="00885CF1"/>
    <w:rsid w:val="00886062"/>
    <w:rsid w:val="00886720"/>
    <w:rsid w:val="008903A7"/>
    <w:rsid w:val="0089057B"/>
    <w:rsid w:val="0089080E"/>
    <w:rsid w:val="00892260"/>
    <w:rsid w:val="008929D0"/>
    <w:rsid w:val="00894EE9"/>
    <w:rsid w:val="008963CE"/>
    <w:rsid w:val="00897DAA"/>
    <w:rsid w:val="008A0613"/>
    <w:rsid w:val="008A0BDE"/>
    <w:rsid w:val="008A1455"/>
    <w:rsid w:val="008A1C50"/>
    <w:rsid w:val="008A45DC"/>
    <w:rsid w:val="008A45F1"/>
    <w:rsid w:val="008A70BF"/>
    <w:rsid w:val="008B16CA"/>
    <w:rsid w:val="008B1CA4"/>
    <w:rsid w:val="008B200F"/>
    <w:rsid w:val="008B2D32"/>
    <w:rsid w:val="008B2E35"/>
    <w:rsid w:val="008B3200"/>
    <w:rsid w:val="008B3D4D"/>
    <w:rsid w:val="008B4C59"/>
    <w:rsid w:val="008B6AED"/>
    <w:rsid w:val="008B6BB5"/>
    <w:rsid w:val="008C02CF"/>
    <w:rsid w:val="008C12DB"/>
    <w:rsid w:val="008C5B4E"/>
    <w:rsid w:val="008D0969"/>
    <w:rsid w:val="008D0CBB"/>
    <w:rsid w:val="008D18AF"/>
    <w:rsid w:val="008D2A67"/>
    <w:rsid w:val="008D2FB7"/>
    <w:rsid w:val="008D307B"/>
    <w:rsid w:val="008D33B4"/>
    <w:rsid w:val="008D3E9B"/>
    <w:rsid w:val="008D7CD9"/>
    <w:rsid w:val="008D7D33"/>
    <w:rsid w:val="008E2E10"/>
    <w:rsid w:val="008E314E"/>
    <w:rsid w:val="008E38D9"/>
    <w:rsid w:val="008E4BAC"/>
    <w:rsid w:val="008E4CD1"/>
    <w:rsid w:val="008E4E12"/>
    <w:rsid w:val="008E5FFC"/>
    <w:rsid w:val="008F08BB"/>
    <w:rsid w:val="008F1733"/>
    <w:rsid w:val="008F1EB9"/>
    <w:rsid w:val="008F23B4"/>
    <w:rsid w:val="008F4B62"/>
    <w:rsid w:val="008F5148"/>
    <w:rsid w:val="008F51E3"/>
    <w:rsid w:val="008F5234"/>
    <w:rsid w:val="008F7306"/>
    <w:rsid w:val="008F79BE"/>
    <w:rsid w:val="009005B5"/>
    <w:rsid w:val="00900B6C"/>
    <w:rsid w:val="009013B4"/>
    <w:rsid w:val="0090169D"/>
    <w:rsid w:val="009059D7"/>
    <w:rsid w:val="00910D52"/>
    <w:rsid w:val="00911033"/>
    <w:rsid w:val="00911E26"/>
    <w:rsid w:val="00912413"/>
    <w:rsid w:val="00912623"/>
    <w:rsid w:val="00912D09"/>
    <w:rsid w:val="009130A5"/>
    <w:rsid w:val="009154A1"/>
    <w:rsid w:val="00915C7E"/>
    <w:rsid w:val="009161A0"/>
    <w:rsid w:val="00917BE4"/>
    <w:rsid w:val="009215B7"/>
    <w:rsid w:val="00921BEC"/>
    <w:rsid w:val="00923AA0"/>
    <w:rsid w:val="00924872"/>
    <w:rsid w:val="00925471"/>
    <w:rsid w:val="009258B8"/>
    <w:rsid w:val="00926C87"/>
    <w:rsid w:val="00927834"/>
    <w:rsid w:val="00933DCD"/>
    <w:rsid w:val="009340C8"/>
    <w:rsid w:val="00934C8F"/>
    <w:rsid w:val="009365D6"/>
    <w:rsid w:val="00937021"/>
    <w:rsid w:val="00937D59"/>
    <w:rsid w:val="00940159"/>
    <w:rsid w:val="0094025A"/>
    <w:rsid w:val="00940C15"/>
    <w:rsid w:val="00942591"/>
    <w:rsid w:val="00942924"/>
    <w:rsid w:val="00942B62"/>
    <w:rsid w:val="00942C08"/>
    <w:rsid w:val="00944E0F"/>
    <w:rsid w:val="00946277"/>
    <w:rsid w:val="00946611"/>
    <w:rsid w:val="009467D2"/>
    <w:rsid w:val="0094725A"/>
    <w:rsid w:val="0095006C"/>
    <w:rsid w:val="00950AE5"/>
    <w:rsid w:val="00952D33"/>
    <w:rsid w:val="009534F9"/>
    <w:rsid w:val="009536D1"/>
    <w:rsid w:val="009548D9"/>
    <w:rsid w:val="0095621D"/>
    <w:rsid w:val="009604FE"/>
    <w:rsid w:val="00961E5A"/>
    <w:rsid w:val="00962A19"/>
    <w:rsid w:val="00962D36"/>
    <w:rsid w:val="00964A5E"/>
    <w:rsid w:val="00964A88"/>
    <w:rsid w:val="009650C7"/>
    <w:rsid w:val="00965117"/>
    <w:rsid w:val="00965843"/>
    <w:rsid w:val="00965E40"/>
    <w:rsid w:val="009660B1"/>
    <w:rsid w:val="0096783C"/>
    <w:rsid w:val="00970AC9"/>
    <w:rsid w:val="00970E78"/>
    <w:rsid w:val="00970F6D"/>
    <w:rsid w:val="00972FD1"/>
    <w:rsid w:val="00973EEE"/>
    <w:rsid w:val="00974438"/>
    <w:rsid w:val="00974515"/>
    <w:rsid w:val="00975F40"/>
    <w:rsid w:val="00976D6E"/>
    <w:rsid w:val="009774A7"/>
    <w:rsid w:val="00977F2F"/>
    <w:rsid w:val="00980B06"/>
    <w:rsid w:val="00981D51"/>
    <w:rsid w:val="0098253C"/>
    <w:rsid w:val="009826ED"/>
    <w:rsid w:val="00983866"/>
    <w:rsid w:val="00985CBB"/>
    <w:rsid w:val="00985DF3"/>
    <w:rsid w:val="0098644D"/>
    <w:rsid w:val="00986691"/>
    <w:rsid w:val="00987B28"/>
    <w:rsid w:val="00990292"/>
    <w:rsid w:val="0099044B"/>
    <w:rsid w:val="009907FC"/>
    <w:rsid w:val="009920EB"/>
    <w:rsid w:val="00992852"/>
    <w:rsid w:val="00993237"/>
    <w:rsid w:val="00993CBC"/>
    <w:rsid w:val="009940B9"/>
    <w:rsid w:val="009962BD"/>
    <w:rsid w:val="00996879"/>
    <w:rsid w:val="00997479"/>
    <w:rsid w:val="009A01D4"/>
    <w:rsid w:val="009A1599"/>
    <w:rsid w:val="009A1625"/>
    <w:rsid w:val="009A22D6"/>
    <w:rsid w:val="009A386B"/>
    <w:rsid w:val="009A41E8"/>
    <w:rsid w:val="009A42F5"/>
    <w:rsid w:val="009A533F"/>
    <w:rsid w:val="009A5814"/>
    <w:rsid w:val="009A65B0"/>
    <w:rsid w:val="009A6742"/>
    <w:rsid w:val="009A6FC6"/>
    <w:rsid w:val="009A7E9D"/>
    <w:rsid w:val="009B04B8"/>
    <w:rsid w:val="009B0509"/>
    <w:rsid w:val="009B0B3E"/>
    <w:rsid w:val="009B0BD2"/>
    <w:rsid w:val="009B100E"/>
    <w:rsid w:val="009B1202"/>
    <w:rsid w:val="009B15D4"/>
    <w:rsid w:val="009B1CF3"/>
    <w:rsid w:val="009B2FBF"/>
    <w:rsid w:val="009B42C6"/>
    <w:rsid w:val="009B5308"/>
    <w:rsid w:val="009B7B76"/>
    <w:rsid w:val="009B7F98"/>
    <w:rsid w:val="009C085C"/>
    <w:rsid w:val="009C2FCB"/>
    <w:rsid w:val="009C3602"/>
    <w:rsid w:val="009C3B70"/>
    <w:rsid w:val="009C4B94"/>
    <w:rsid w:val="009C59B6"/>
    <w:rsid w:val="009C748B"/>
    <w:rsid w:val="009C79BA"/>
    <w:rsid w:val="009C7E55"/>
    <w:rsid w:val="009D0224"/>
    <w:rsid w:val="009D054D"/>
    <w:rsid w:val="009D0C5C"/>
    <w:rsid w:val="009D13EE"/>
    <w:rsid w:val="009D1F38"/>
    <w:rsid w:val="009D326D"/>
    <w:rsid w:val="009D472E"/>
    <w:rsid w:val="009D49F9"/>
    <w:rsid w:val="009D4D52"/>
    <w:rsid w:val="009D5512"/>
    <w:rsid w:val="009D5B2C"/>
    <w:rsid w:val="009D65D8"/>
    <w:rsid w:val="009D737E"/>
    <w:rsid w:val="009E0096"/>
    <w:rsid w:val="009E0494"/>
    <w:rsid w:val="009E1215"/>
    <w:rsid w:val="009E18CC"/>
    <w:rsid w:val="009E1BDA"/>
    <w:rsid w:val="009E1CF3"/>
    <w:rsid w:val="009E22E2"/>
    <w:rsid w:val="009E2AA5"/>
    <w:rsid w:val="009E2E4F"/>
    <w:rsid w:val="009E33CD"/>
    <w:rsid w:val="009E3967"/>
    <w:rsid w:val="009E412F"/>
    <w:rsid w:val="009E4619"/>
    <w:rsid w:val="009E5578"/>
    <w:rsid w:val="009E663B"/>
    <w:rsid w:val="009F3500"/>
    <w:rsid w:val="009F35CF"/>
    <w:rsid w:val="009F47E5"/>
    <w:rsid w:val="009F4E54"/>
    <w:rsid w:val="009F5338"/>
    <w:rsid w:val="009F5A80"/>
    <w:rsid w:val="009F6548"/>
    <w:rsid w:val="009F659F"/>
    <w:rsid w:val="009F6865"/>
    <w:rsid w:val="00A01DBE"/>
    <w:rsid w:val="00A021C1"/>
    <w:rsid w:val="00A025E4"/>
    <w:rsid w:val="00A02602"/>
    <w:rsid w:val="00A043E4"/>
    <w:rsid w:val="00A04F9A"/>
    <w:rsid w:val="00A05CAA"/>
    <w:rsid w:val="00A06EC6"/>
    <w:rsid w:val="00A07B0D"/>
    <w:rsid w:val="00A1063B"/>
    <w:rsid w:val="00A13AFB"/>
    <w:rsid w:val="00A146CD"/>
    <w:rsid w:val="00A1643F"/>
    <w:rsid w:val="00A166B7"/>
    <w:rsid w:val="00A170A5"/>
    <w:rsid w:val="00A17140"/>
    <w:rsid w:val="00A17E39"/>
    <w:rsid w:val="00A20234"/>
    <w:rsid w:val="00A21335"/>
    <w:rsid w:val="00A21425"/>
    <w:rsid w:val="00A2247B"/>
    <w:rsid w:val="00A23869"/>
    <w:rsid w:val="00A23D87"/>
    <w:rsid w:val="00A25D56"/>
    <w:rsid w:val="00A2604D"/>
    <w:rsid w:val="00A279E8"/>
    <w:rsid w:val="00A27B3A"/>
    <w:rsid w:val="00A30485"/>
    <w:rsid w:val="00A30996"/>
    <w:rsid w:val="00A30DCF"/>
    <w:rsid w:val="00A30F33"/>
    <w:rsid w:val="00A3196E"/>
    <w:rsid w:val="00A3268F"/>
    <w:rsid w:val="00A32D16"/>
    <w:rsid w:val="00A335EA"/>
    <w:rsid w:val="00A33A8E"/>
    <w:rsid w:val="00A33AE6"/>
    <w:rsid w:val="00A33F85"/>
    <w:rsid w:val="00A3663B"/>
    <w:rsid w:val="00A379B7"/>
    <w:rsid w:val="00A37A20"/>
    <w:rsid w:val="00A37A52"/>
    <w:rsid w:val="00A4041D"/>
    <w:rsid w:val="00A40437"/>
    <w:rsid w:val="00A40D4A"/>
    <w:rsid w:val="00A41FAA"/>
    <w:rsid w:val="00A420B1"/>
    <w:rsid w:val="00A44B0F"/>
    <w:rsid w:val="00A4546C"/>
    <w:rsid w:val="00A46488"/>
    <w:rsid w:val="00A46BE1"/>
    <w:rsid w:val="00A475FD"/>
    <w:rsid w:val="00A47814"/>
    <w:rsid w:val="00A479C3"/>
    <w:rsid w:val="00A5019C"/>
    <w:rsid w:val="00A50D7E"/>
    <w:rsid w:val="00A512F8"/>
    <w:rsid w:val="00A513DD"/>
    <w:rsid w:val="00A519DE"/>
    <w:rsid w:val="00A51ECB"/>
    <w:rsid w:val="00A520F3"/>
    <w:rsid w:val="00A52E48"/>
    <w:rsid w:val="00A5300D"/>
    <w:rsid w:val="00A53EC6"/>
    <w:rsid w:val="00A54B77"/>
    <w:rsid w:val="00A54B9D"/>
    <w:rsid w:val="00A54C7B"/>
    <w:rsid w:val="00A54EA0"/>
    <w:rsid w:val="00A55368"/>
    <w:rsid w:val="00A563E9"/>
    <w:rsid w:val="00A5668D"/>
    <w:rsid w:val="00A57703"/>
    <w:rsid w:val="00A57ADE"/>
    <w:rsid w:val="00A57C5C"/>
    <w:rsid w:val="00A60546"/>
    <w:rsid w:val="00A60EC3"/>
    <w:rsid w:val="00A63EC5"/>
    <w:rsid w:val="00A653AA"/>
    <w:rsid w:val="00A66DF1"/>
    <w:rsid w:val="00A67342"/>
    <w:rsid w:val="00A67A54"/>
    <w:rsid w:val="00A702E4"/>
    <w:rsid w:val="00A70C58"/>
    <w:rsid w:val="00A71D6A"/>
    <w:rsid w:val="00A739DB"/>
    <w:rsid w:val="00A73B52"/>
    <w:rsid w:val="00A73BC8"/>
    <w:rsid w:val="00A73DF8"/>
    <w:rsid w:val="00A74257"/>
    <w:rsid w:val="00A74413"/>
    <w:rsid w:val="00A74E8F"/>
    <w:rsid w:val="00A75876"/>
    <w:rsid w:val="00A7722F"/>
    <w:rsid w:val="00A80776"/>
    <w:rsid w:val="00A835E2"/>
    <w:rsid w:val="00A83B4F"/>
    <w:rsid w:val="00A8428D"/>
    <w:rsid w:val="00A849B5"/>
    <w:rsid w:val="00A857B4"/>
    <w:rsid w:val="00A9099F"/>
    <w:rsid w:val="00A91582"/>
    <w:rsid w:val="00A926DA"/>
    <w:rsid w:val="00A93AA7"/>
    <w:rsid w:val="00A93CAC"/>
    <w:rsid w:val="00A94F87"/>
    <w:rsid w:val="00A96411"/>
    <w:rsid w:val="00A9663B"/>
    <w:rsid w:val="00A9695A"/>
    <w:rsid w:val="00A96FF6"/>
    <w:rsid w:val="00A977E6"/>
    <w:rsid w:val="00AA0062"/>
    <w:rsid w:val="00AA0069"/>
    <w:rsid w:val="00AA0E91"/>
    <w:rsid w:val="00AA0FFF"/>
    <w:rsid w:val="00AA1842"/>
    <w:rsid w:val="00AA239E"/>
    <w:rsid w:val="00AA2672"/>
    <w:rsid w:val="00AA2D0C"/>
    <w:rsid w:val="00AA459C"/>
    <w:rsid w:val="00AA5AA3"/>
    <w:rsid w:val="00AA6C07"/>
    <w:rsid w:val="00AA6C47"/>
    <w:rsid w:val="00AA70BB"/>
    <w:rsid w:val="00AB005B"/>
    <w:rsid w:val="00AB06CF"/>
    <w:rsid w:val="00AB1B0C"/>
    <w:rsid w:val="00AB1D3C"/>
    <w:rsid w:val="00AB1F6F"/>
    <w:rsid w:val="00AB1FB0"/>
    <w:rsid w:val="00AB22FF"/>
    <w:rsid w:val="00AB2E44"/>
    <w:rsid w:val="00AB31EC"/>
    <w:rsid w:val="00AB3B49"/>
    <w:rsid w:val="00AB5427"/>
    <w:rsid w:val="00AB5993"/>
    <w:rsid w:val="00AB5A3E"/>
    <w:rsid w:val="00AB6EC8"/>
    <w:rsid w:val="00AC09DB"/>
    <w:rsid w:val="00AC10F5"/>
    <w:rsid w:val="00AC11D9"/>
    <w:rsid w:val="00AC216B"/>
    <w:rsid w:val="00AC2FE1"/>
    <w:rsid w:val="00AC4C57"/>
    <w:rsid w:val="00AC4CF2"/>
    <w:rsid w:val="00AC7093"/>
    <w:rsid w:val="00AC712E"/>
    <w:rsid w:val="00AC78A0"/>
    <w:rsid w:val="00AD1D63"/>
    <w:rsid w:val="00AD2306"/>
    <w:rsid w:val="00AD320B"/>
    <w:rsid w:val="00AD598A"/>
    <w:rsid w:val="00AD6169"/>
    <w:rsid w:val="00AD7A21"/>
    <w:rsid w:val="00AE131D"/>
    <w:rsid w:val="00AE1970"/>
    <w:rsid w:val="00AE1D34"/>
    <w:rsid w:val="00AE1EFC"/>
    <w:rsid w:val="00AE2637"/>
    <w:rsid w:val="00AE2C66"/>
    <w:rsid w:val="00AE319D"/>
    <w:rsid w:val="00AE4F82"/>
    <w:rsid w:val="00AE5922"/>
    <w:rsid w:val="00AE5CE9"/>
    <w:rsid w:val="00AE6B8D"/>
    <w:rsid w:val="00AF07D9"/>
    <w:rsid w:val="00AF399B"/>
    <w:rsid w:val="00AF3EF3"/>
    <w:rsid w:val="00AF44B9"/>
    <w:rsid w:val="00AF4840"/>
    <w:rsid w:val="00AF5060"/>
    <w:rsid w:val="00AF59FC"/>
    <w:rsid w:val="00AF5A03"/>
    <w:rsid w:val="00AF5F59"/>
    <w:rsid w:val="00AF68C7"/>
    <w:rsid w:val="00AF7943"/>
    <w:rsid w:val="00AF7A9F"/>
    <w:rsid w:val="00AF7FEF"/>
    <w:rsid w:val="00B009E6"/>
    <w:rsid w:val="00B00C67"/>
    <w:rsid w:val="00B00F32"/>
    <w:rsid w:val="00B0160F"/>
    <w:rsid w:val="00B018F5"/>
    <w:rsid w:val="00B01A49"/>
    <w:rsid w:val="00B02916"/>
    <w:rsid w:val="00B03084"/>
    <w:rsid w:val="00B03BEC"/>
    <w:rsid w:val="00B03C12"/>
    <w:rsid w:val="00B04D13"/>
    <w:rsid w:val="00B04D67"/>
    <w:rsid w:val="00B05EF1"/>
    <w:rsid w:val="00B0627E"/>
    <w:rsid w:val="00B06AE1"/>
    <w:rsid w:val="00B07C4B"/>
    <w:rsid w:val="00B07DDE"/>
    <w:rsid w:val="00B10E5C"/>
    <w:rsid w:val="00B11A13"/>
    <w:rsid w:val="00B12302"/>
    <w:rsid w:val="00B1339F"/>
    <w:rsid w:val="00B137AF"/>
    <w:rsid w:val="00B1440B"/>
    <w:rsid w:val="00B15F71"/>
    <w:rsid w:val="00B1605A"/>
    <w:rsid w:val="00B174AB"/>
    <w:rsid w:val="00B17D2F"/>
    <w:rsid w:val="00B2066C"/>
    <w:rsid w:val="00B20898"/>
    <w:rsid w:val="00B21680"/>
    <w:rsid w:val="00B2365B"/>
    <w:rsid w:val="00B264CD"/>
    <w:rsid w:val="00B265EC"/>
    <w:rsid w:val="00B30248"/>
    <w:rsid w:val="00B30353"/>
    <w:rsid w:val="00B30BEA"/>
    <w:rsid w:val="00B31B86"/>
    <w:rsid w:val="00B320E0"/>
    <w:rsid w:val="00B32113"/>
    <w:rsid w:val="00B32FA8"/>
    <w:rsid w:val="00B333D8"/>
    <w:rsid w:val="00B33702"/>
    <w:rsid w:val="00B36D35"/>
    <w:rsid w:val="00B41B9B"/>
    <w:rsid w:val="00B42AE0"/>
    <w:rsid w:val="00B433D8"/>
    <w:rsid w:val="00B4531A"/>
    <w:rsid w:val="00B46DC3"/>
    <w:rsid w:val="00B47C43"/>
    <w:rsid w:val="00B47EC8"/>
    <w:rsid w:val="00B504CF"/>
    <w:rsid w:val="00B511F3"/>
    <w:rsid w:val="00B513EE"/>
    <w:rsid w:val="00B51667"/>
    <w:rsid w:val="00B524F2"/>
    <w:rsid w:val="00B5279D"/>
    <w:rsid w:val="00B53D8C"/>
    <w:rsid w:val="00B55CA8"/>
    <w:rsid w:val="00B55ED5"/>
    <w:rsid w:val="00B561F5"/>
    <w:rsid w:val="00B57292"/>
    <w:rsid w:val="00B5772D"/>
    <w:rsid w:val="00B60255"/>
    <w:rsid w:val="00B60264"/>
    <w:rsid w:val="00B60398"/>
    <w:rsid w:val="00B6043F"/>
    <w:rsid w:val="00B61864"/>
    <w:rsid w:val="00B61C9D"/>
    <w:rsid w:val="00B62E8F"/>
    <w:rsid w:val="00B63F4C"/>
    <w:rsid w:val="00B65F34"/>
    <w:rsid w:val="00B6672D"/>
    <w:rsid w:val="00B66BFC"/>
    <w:rsid w:val="00B672DC"/>
    <w:rsid w:val="00B67CAE"/>
    <w:rsid w:val="00B70A33"/>
    <w:rsid w:val="00B72513"/>
    <w:rsid w:val="00B774DF"/>
    <w:rsid w:val="00B77769"/>
    <w:rsid w:val="00B80473"/>
    <w:rsid w:val="00B81A00"/>
    <w:rsid w:val="00B82F00"/>
    <w:rsid w:val="00B85A53"/>
    <w:rsid w:val="00B861DE"/>
    <w:rsid w:val="00B86202"/>
    <w:rsid w:val="00B86AA1"/>
    <w:rsid w:val="00B86EA2"/>
    <w:rsid w:val="00B870A5"/>
    <w:rsid w:val="00B876CF"/>
    <w:rsid w:val="00B90324"/>
    <w:rsid w:val="00B90511"/>
    <w:rsid w:val="00B90567"/>
    <w:rsid w:val="00B912FA"/>
    <w:rsid w:val="00B91663"/>
    <w:rsid w:val="00B91929"/>
    <w:rsid w:val="00B933F2"/>
    <w:rsid w:val="00B93539"/>
    <w:rsid w:val="00B93863"/>
    <w:rsid w:val="00B93E31"/>
    <w:rsid w:val="00B94F70"/>
    <w:rsid w:val="00B97460"/>
    <w:rsid w:val="00BA0985"/>
    <w:rsid w:val="00BA12F8"/>
    <w:rsid w:val="00BA1640"/>
    <w:rsid w:val="00BA19D5"/>
    <w:rsid w:val="00BA4937"/>
    <w:rsid w:val="00BA4E05"/>
    <w:rsid w:val="00BA5C27"/>
    <w:rsid w:val="00BA67DE"/>
    <w:rsid w:val="00BA6DEE"/>
    <w:rsid w:val="00BA6F8E"/>
    <w:rsid w:val="00BA7057"/>
    <w:rsid w:val="00BA794B"/>
    <w:rsid w:val="00BA79A8"/>
    <w:rsid w:val="00BB0328"/>
    <w:rsid w:val="00BB056B"/>
    <w:rsid w:val="00BB0957"/>
    <w:rsid w:val="00BB15A7"/>
    <w:rsid w:val="00BB2643"/>
    <w:rsid w:val="00BB42E7"/>
    <w:rsid w:val="00BB4B7F"/>
    <w:rsid w:val="00BB5372"/>
    <w:rsid w:val="00BB5F50"/>
    <w:rsid w:val="00BB602D"/>
    <w:rsid w:val="00BC05D7"/>
    <w:rsid w:val="00BC09D4"/>
    <w:rsid w:val="00BC0B69"/>
    <w:rsid w:val="00BC0D17"/>
    <w:rsid w:val="00BC186E"/>
    <w:rsid w:val="00BC371E"/>
    <w:rsid w:val="00BC3E1C"/>
    <w:rsid w:val="00BC47ED"/>
    <w:rsid w:val="00BD24E9"/>
    <w:rsid w:val="00BD292F"/>
    <w:rsid w:val="00BD4479"/>
    <w:rsid w:val="00BD4662"/>
    <w:rsid w:val="00BD5EBA"/>
    <w:rsid w:val="00BD7D3C"/>
    <w:rsid w:val="00BE1467"/>
    <w:rsid w:val="00BE2A9B"/>
    <w:rsid w:val="00BE2F0A"/>
    <w:rsid w:val="00BE304B"/>
    <w:rsid w:val="00BE3D98"/>
    <w:rsid w:val="00BE4B66"/>
    <w:rsid w:val="00BE6B6A"/>
    <w:rsid w:val="00BE6C53"/>
    <w:rsid w:val="00BE6D78"/>
    <w:rsid w:val="00BE76BD"/>
    <w:rsid w:val="00BE7E5C"/>
    <w:rsid w:val="00BF060D"/>
    <w:rsid w:val="00BF07D4"/>
    <w:rsid w:val="00BF12CB"/>
    <w:rsid w:val="00BF2423"/>
    <w:rsid w:val="00BF287F"/>
    <w:rsid w:val="00BF30E7"/>
    <w:rsid w:val="00BF3CEF"/>
    <w:rsid w:val="00BF4B40"/>
    <w:rsid w:val="00BF5821"/>
    <w:rsid w:val="00BF6075"/>
    <w:rsid w:val="00BF61DE"/>
    <w:rsid w:val="00BF6421"/>
    <w:rsid w:val="00BF6C5C"/>
    <w:rsid w:val="00C02019"/>
    <w:rsid w:val="00C02A41"/>
    <w:rsid w:val="00C035FF"/>
    <w:rsid w:val="00C041D7"/>
    <w:rsid w:val="00C043A1"/>
    <w:rsid w:val="00C04E1B"/>
    <w:rsid w:val="00C05303"/>
    <w:rsid w:val="00C05C1B"/>
    <w:rsid w:val="00C06283"/>
    <w:rsid w:val="00C06541"/>
    <w:rsid w:val="00C070F4"/>
    <w:rsid w:val="00C10412"/>
    <w:rsid w:val="00C1146D"/>
    <w:rsid w:val="00C11587"/>
    <w:rsid w:val="00C117C8"/>
    <w:rsid w:val="00C12765"/>
    <w:rsid w:val="00C128E7"/>
    <w:rsid w:val="00C129AD"/>
    <w:rsid w:val="00C13CD5"/>
    <w:rsid w:val="00C1765A"/>
    <w:rsid w:val="00C17839"/>
    <w:rsid w:val="00C207A8"/>
    <w:rsid w:val="00C208E4"/>
    <w:rsid w:val="00C20B11"/>
    <w:rsid w:val="00C20C3C"/>
    <w:rsid w:val="00C2274B"/>
    <w:rsid w:val="00C22A82"/>
    <w:rsid w:val="00C22B3E"/>
    <w:rsid w:val="00C236F6"/>
    <w:rsid w:val="00C23937"/>
    <w:rsid w:val="00C24EDA"/>
    <w:rsid w:val="00C251E3"/>
    <w:rsid w:val="00C25A2A"/>
    <w:rsid w:val="00C261BE"/>
    <w:rsid w:val="00C26E53"/>
    <w:rsid w:val="00C27304"/>
    <w:rsid w:val="00C27310"/>
    <w:rsid w:val="00C2751E"/>
    <w:rsid w:val="00C277E4"/>
    <w:rsid w:val="00C27CD7"/>
    <w:rsid w:val="00C3012A"/>
    <w:rsid w:val="00C31701"/>
    <w:rsid w:val="00C31877"/>
    <w:rsid w:val="00C323A1"/>
    <w:rsid w:val="00C32507"/>
    <w:rsid w:val="00C32B48"/>
    <w:rsid w:val="00C33AFE"/>
    <w:rsid w:val="00C3545A"/>
    <w:rsid w:val="00C35D50"/>
    <w:rsid w:val="00C35E0D"/>
    <w:rsid w:val="00C3693C"/>
    <w:rsid w:val="00C373C4"/>
    <w:rsid w:val="00C37E5C"/>
    <w:rsid w:val="00C409F6"/>
    <w:rsid w:val="00C40F83"/>
    <w:rsid w:val="00C410F7"/>
    <w:rsid w:val="00C4136F"/>
    <w:rsid w:val="00C4178D"/>
    <w:rsid w:val="00C43522"/>
    <w:rsid w:val="00C4378E"/>
    <w:rsid w:val="00C43999"/>
    <w:rsid w:val="00C442CD"/>
    <w:rsid w:val="00C4505C"/>
    <w:rsid w:val="00C45243"/>
    <w:rsid w:val="00C458E6"/>
    <w:rsid w:val="00C4666F"/>
    <w:rsid w:val="00C46947"/>
    <w:rsid w:val="00C50E4A"/>
    <w:rsid w:val="00C51875"/>
    <w:rsid w:val="00C51A1C"/>
    <w:rsid w:val="00C524B2"/>
    <w:rsid w:val="00C52D01"/>
    <w:rsid w:val="00C534B1"/>
    <w:rsid w:val="00C53EDF"/>
    <w:rsid w:val="00C54234"/>
    <w:rsid w:val="00C543A4"/>
    <w:rsid w:val="00C54F71"/>
    <w:rsid w:val="00C55C13"/>
    <w:rsid w:val="00C610CE"/>
    <w:rsid w:val="00C612FE"/>
    <w:rsid w:val="00C61F0E"/>
    <w:rsid w:val="00C62418"/>
    <w:rsid w:val="00C62D86"/>
    <w:rsid w:val="00C63672"/>
    <w:rsid w:val="00C63812"/>
    <w:rsid w:val="00C64463"/>
    <w:rsid w:val="00C65D8F"/>
    <w:rsid w:val="00C6612F"/>
    <w:rsid w:val="00C6616C"/>
    <w:rsid w:val="00C661EA"/>
    <w:rsid w:val="00C66871"/>
    <w:rsid w:val="00C677DC"/>
    <w:rsid w:val="00C70618"/>
    <w:rsid w:val="00C71EFF"/>
    <w:rsid w:val="00C722ED"/>
    <w:rsid w:val="00C72497"/>
    <w:rsid w:val="00C732CE"/>
    <w:rsid w:val="00C73D86"/>
    <w:rsid w:val="00C7520F"/>
    <w:rsid w:val="00C75D2B"/>
    <w:rsid w:val="00C7673D"/>
    <w:rsid w:val="00C77CFC"/>
    <w:rsid w:val="00C77EA2"/>
    <w:rsid w:val="00C8219B"/>
    <w:rsid w:val="00C822EE"/>
    <w:rsid w:val="00C83A6C"/>
    <w:rsid w:val="00C8430A"/>
    <w:rsid w:val="00C844F5"/>
    <w:rsid w:val="00C85583"/>
    <w:rsid w:val="00C86A25"/>
    <w:rsid w:val="00C86DAF"/>
    <w:rsid w:val="00C871D5"/>
    <w:rsid w:val="00C903AB"/>
    <w:rsid w:val="00C906BB"/>
    <w:rsid w:val="00C91507"/>
    <w:rsid w:val="00C92C79"/>
    <w:rsid w:val="00C93891"/>
    <w:rsid w:val="00C93BED"/>
    <w:rsid w:val="00C941A9"/>
    <w:rsid w:val="00C943EF"/>
    <w:rsid w:val="00C94681"/>
    <w:rsid w:val="00C94E6D"/>
    <w:rsid w:val="00C95E65"/>
    <w:rsid w:val="00C96B24"/>
    <w:rsid w:val="00C97341"/>
    <w:rsid w:val="00C97B54"/>
    <w:rsid w:val="00CA02C5"/>
    <w:rsid w:val="00CA05AE"/>
    <w:rsid w:val="00CA1498"/>
    <w:rsid w:val="00CA1545"/>
    <w:rsid w:val="00CA166F"/>
    <w:rsid w:val="00CA27F1"/>
    <w:rsid w:val="00CA2877"/>
    <w:rsid w:val="00CA297D"/>
    <w:rsid w:val="00CA2C67"/>
    <w:rsid w:val="00CA3013"/>
    <w:rsid w:val="00CA32AA"/>
    <w:rsid w:val="00CA32C9"/>
    <w:rsid w:val="00CA3778"/>
    <w:rsid w:val="00CA3889"/>
    <w:rsid w:val="00CA5612"/>
    <w:rsid w:val="00CA58AD"/>
    <w:rsid w:val="00CA5AEB"/>
    <w:rsid w:val="00CA5C09"/>
    <w:rsid w:val="00CA6CE5"/>
    <w:rsid w:val="00CA7018"/>
    <w:rsid w:val="00CA7852"/>
    <w:rsid w:val="00CB0AE0"/>
    <w:rsid w:val="00CB1F87"/>
    <w:rsid w:val="00CB27D6"/>
    <w:rsid w:val="00CB3A48"/>
    <w:rsid w:val="00CB40F8"/>
    <w:rsid w:val="00CB4BD3"/>
    <w:rsid w:val="00CB51E6"/>
    <w:rsid w:val="00CB52A4"/>
    <w:rsid w:val="00CB632D"/>
    <w:rsid w:val="00CB6819"/>
    <w:rsid w:val="00CB6F79"/>
    <w:rsid w:val="00CB73D2"/>
    <w:rsid w:val="00CB7514"/>
    <w:rsid w:val="00CB767A"/>
    <w:rsid w:val="00CB7B42"/>
    <w:rsid w:val="00CC0ECF"/>
    <w:rsid w:val="00CC3095"/>
    <w:rsid w:val="00CC3901"/>
    <w:rsid w:val="00CC3D7B"/>
    <w:rsid w:val="00CC43F8"/>
    <w:rsid w:val="00CC4472"/>
    <w:rsid w:val="00CC61F8"/>
    <w:rsid w:val="00CD0447"/>
    <w:rsid w:val="00CD1A9B"/>
    <w:rsid w:val="00CD2BE3"/>
    <w:rsid w:val="00CD5358"/>
    <w:rsid w:val="00CD5B4D"/>
    <w:rsid w:val="00CD6078"/>
    <w:rsid w:val="00CD67CE"/>
    <w:rsid w:val="00CD7596"/>
    <w:rsid w:val="00CE06AE"/>
    <w:rsid w:val="00CE0F6A"/>
    <w:rsid w:val="00CE11C0"/>
    <w:rsid w:val="00CE2842"/>
    <w:rsid w:val="00CE35C9"/>
    <w:rsid w:val="00CE51B1"/>
    <w:rsid w:val="00CE5A1E"/>
    <w:rsid w:val="00CE5C37"/>
    <w:rsid w:val="00CE5D05"/>
    <w:rsid w:val="00CF256A"/>
    <w:rsid w:val="00CF25BF"/>
    <w:rsid w:val="00CF3AF5"/>
    <w:rsid w:val="00CF4766"/>
    <w:rsid w:val="00CF5122"/>
    <w:rsid w:val="00CF6CE6"/>
    <w:rsid w:val="00CF6DBE"/>
    <w:rsid w:val="00D0017C"/>
    <w:rsid w:val="00D00EC2"/>
    <w:rsid w:val="00D01A33"/>
    <w:rsid w:val="00D02148"/>
    <w:rsid w:val="00D034D8"/>
    <w:rsid w:val="00D04248"/>
    <w:rsid w:val="00D050A1"/>
    <w:rsid w:val="00D0597E"/>
    <w:rsid w:val="00D06253"/>
    <w:rsid w:val="00D07369"/>
    <w:rsid w:val="00D104E3"/>
    <w:rsid w:val="00D107C9"/>
    <w:rsid w:val="00D110FF"/>
    <w:rsid w:val="00D114E7"/>
    <w:rsid w:val="00D115A4"/>
    <w:rsid w:val="00D133B6"/>
    <w:rsid w:val="00D1588B"/>
    <w:rsid w:val="00D162B9"/>
    <w:rsid w:val="00D16CD5"/>
    <w:rsid w:val="00D20497"/>
    <w:rsid w:val="00D20F45"/>
    <w:rsid w:val="00D21270"/>
    <w:rsid w:val="00D23742"/>
    <w:rsid w:val="00D23B29"/>
    <w:rsid w:val="00D24300"/>
    <w:rsid w:val="00D24F9B"/>
    <w:rsid w:val="00D25106"/>
    <w:rsid w:val="00D255C4"/>
    <w:rsid w:val="00D256E3"/>
    <w:rsid w:val="00D25C5E"/>
    <w:rsid w:val="00D270E6"/>
    <w:rsid w:val="00D271B9"/>
    <w:rsid w:val="00D31890"/>
    <w:rsid w:val="00D31946"/>
    <w:rsid w:val="00D33962"/>
    <w:rsid w:val="00D34119"/>
    <w:rsid w:val="00D34BC2"/>
    <w:rsid w:val="00D35DB2"/>
    <w:rsid w:val="00D37561"/>
    <w:rsid w:val="00D37741"/>
    <w:rsid w:val="00D37875"/>
    <w:rsid w:val="00D40337"/>
    <w:rsid w:val="00D40613"/>
    <w:rsid w:val="00D41D72"/>
    <w:rsid w:val="00D424A6"/>
    <w:rsid w:val="00D4272C"/>
    <w:rsid w:val="00D42A44"/>
    <w:rsid w:val="00D42AF3"/>
    <w:rsid w:val="00D4378D"/>
    <w:rsid w:val="00D43B66"/>
    <w:rsid w:val="00D462F9"/>
    <w:rsid w:val="00D4771A"/>
    <w:rsid w:val="00D50709"/>
    <w:rsid w:val="00D50E20"/>
    <w:rsid w:val="00D519DC"/>
    <w:rsid w:val="00D519EE"/>
    <w:rsid w:val="00D51E98"/>
    <w:rsid w:val="00D524D5"/>
    <w:rsid w:val="00D52639"/>
    <w:rsid w:val="00D52B2B"/>
    <w:rsid w:val="00D52EF4"/>
    <w:rsid w:val="00D539B6"/>
    <w:rsid w:val="00D54463"/>
    <w:rsid w:val="00D5510D"/>
    <w:rsid w:val="00D55D07"/>
    <w:rsid w:val="00D55D24"/>
    <w:rsid w:val="00D566F6"/>
    <w:rsid w:val="00D56C54"/>
    <w:rsid w:val="00D601DE"/>
    <w:rsid w:val="00D614EE"/>
    <w:rsid w:val="00D61634"/>
    <w:rsid w:val="00D6208D"/>
    <w:rsid w:val="00D63527"/>
    <w:rsid w:val="00D63DA0"/>
    <w:rsid w:val="00D65F57"/>
    <w:rsid w:val="00D66012"/>
    <w:rsid w:val="00D7002E"/>
    <w:rsid w:val="00D70653"/>
    <w:rsid w:val="00D70D2A"/>
    <w:rsid w:val="00D713E4"/>
    <w:rsid w:val="00D71B03"/>
    <w:rsid w:val="00D71EEE"/>
    <w:rsid w:val="00D72C21"/>
    <w:rsid w:val="00D72F37"/>
    <w:rsid w:val="00D73B28"/>
    <w:rsid w:val="00D73FE7"/>
    <w:rsid w:val="00D74025"/>
    <w:rsid w:val="00D74034"/>
    <w:rsid w:val="00D7441C"/>
    <w:rsid w:val="00D75503"/>
    <w:rsid w:val="00D75BEB"/>
    <w:rsid w:val="00D76936"/>
    <w:rsid w:val="00D77054"/>
    <w:rsid w:val="00D806E6"/>
    <w:rsid w:val="00D808B4"/>
    <w:rsid w:val="00D80D52"/>
    <w:rsid w:val="00D8234F"/>
    <w:rsid w:val="00D8301F"/>
    <w:rsid w:val="00D83C95"/>
    <w:rsid w:val="00D855DC"/>
    <w:rsid w:val="00D87CF8"/>
    <w:rsid w:val="00D902CA"/>
    <w:rsid w:val="00D906F0"/>
    <w:rsid w:val="00D91C62"/>
    <w:rsid w:val="00D92491"/>
    <w:rsid w:val="00D94FDB"/>
    <w:rsid w:val="00D95C1B"/>
    <w:rsid w:val="00D95C8B"/>
    <w:rsid w:val="00D95DE5"/>
    <w:rsid w:val="00D963D7"/>
    <w:rsid w:val="00DA0906"/>
    <w:rsid w:val="00DA2783"/>
    <w:rsid w:val="00DA3117"/>
    <w:rsid w:val="00DA353B"/>
    <w:rsid w:val="00DA3A5F"/>
    <w:rsid w:val="00DA3BC0"/>
    <w:rsid w:val="00DA47B6"/>
    <w:rsid w:val="00DA55D5"/>
    <w:rsid w:val="00DA65EC"/>
    <w:rsid w:val="00DA6636"/>
    <w:rsid w:val="00DA6CC8"/>
    <w:rsid w:val="00DA7353"/>
    <w:rsid w:val="00DA7B64"/>
    <w:rsid w:val="00DB07EB"/>
    <w:rsid w:val="00DB09A4"/>
    <w:rsid w:val="00DB15C1"/>
    <w:rsid w:val="00DB1668"/>
    <w:rsid w:val="00DB1B73"/>
    <w:rsid w:val="00DB1C8F"/>
    <w:rsid w:val="00DB215A"/>
    <w:rsid w:val="00DB290C"/>
    <w:rsid w:val="00DB2CA3"/>
    <w:rsid w:val="00DB3378"/>
    <w:rsid w:val="00DB5146"/>
    <w:rsid w:val="00DB548A"/>
    <w:rsid w:val="00DB595D"/>
    <w:rsid w:val="00DB59BE"/>
    <w:rsid w:val="00DB5A91"/>
    <w:rsid w:val="00DB68F7"/>
    <w:rsid w:val="00DB6FB6"/>
    <w:rsid w:val="00DB7693"/>
    <w:rsid w:val="00DC1660"/>
    <w:rsid w:val="00DC19F5"/>
    <w:rsid w:val="00DC3760"/>
    <w:rsid w:val="00DC383E"/>
    <w:rsid w:val="00DC6000"/>
    <w:rsid w:val="00DC6D6D"/>
    <w:rsid w:val="00DC70D4"/>
    <w:rsid w:val="00DD1E2A"/>
    <w:rsid w:val="00DD2427"/>
    <w:rsid w:val="00DD2473"/>
    <w:rsid w:val="00DD2A63"/>
    <w:rsid w:val="00DD3397"/>
    <w:rsid w:val="00DD5004"/>
    <w:rsid w:val="00DD53F9"/>
    <w:rsid w:val="00DD58C6"/>
    <w:rsid w:val="00DD5EE2"/>
    <w:rsid w:val="00DD6C4F"/>
    <w:rsid w:val="00DE0105"/>
    <w:rsid w:val="00DE0C66"/>
    <w:rsid w:val="00DE0E36"/>
    <w:rsid w:val="00DE2132"/>
    <w:rsid w:val="00DE3D7C"/>
    <w:rsid w:val="00DE573D"/>
    <w:rsid w:val="00DE682E"/>
    <w:rsid w:val="00DE722F"/>
    <w:rsid w:val="00DE73F3"/>
    <w:rsid w:val="00DE7BBF"/>
    <w:rsid w:val="00DF0BE8"/>
    <w:rsid w:val="00DF12FF"/>
    <w:rsid w:val="00DF18D7"/>
    <w:rsid w:val="00DF2D53"/>
    <w:rsid w:val="00DF4D4B"/>
    <w:rsid w:val="00DF503B"/>
    <w:rsid w:val="00DF51EE"/>
    <w:rsid w:val="00DF57DF"/>
    <w:rsid w:val="00DF5BF0"/>
    <w:rsid w:val="00DF5E39"/>
    <w:rsid w:val="00DF7196"/>
    <w:rsid w:val="00DF7691"/>
    <w:rsid w:val="00DF7F01"/>
    <w:rsid w:val="00E0074E"/>
    <w:rsid w:val="00E008F7"/>
    <w:rsid w:val="00E01214"/>
    <w:rsid w:val="00E012EF"/>
    <w:rsid w:val="00E0132C"/>
    <w:rsid w:val="00E01C5A"/>
    <w:rsid w:val="00E01D95"/>
    <w:rsid w:val="00E023D3"/>
    <w:rsid w:val="00E0293A"/>
    <w:rsid w:val="00E04DCE"/>
    <w:rsid w:val="00E07313"/>
    <w:rsid w:val="00E10D5B"/>
    <w:rsid w:val="00E11227"/>
    <w:rsid w:val="00E11F1B"/>
    <w:rsid w:val="00E12508"/>
    <w:rsid w:val="00E13802"/>
    <w:rsid w:val="00E13853"/>
    <w:rsid w:val="00E14F10"/>
    <w:rsid w:val="00E15334"/>
    <w:rsid w:val="00E15E0D"/>
    <w:rsid w:val="00E16303"/>
    <w:rsid w:val="00E172F4"/>
    <w:rsid w:val="00E17B68"/>
    <w:rsid w:val="00E17DF4"/>
    <w:rsid w:val="00E2024D"/>
    <w:rsid w:val="00E20263"/>
    <w:rsid w:val="00E20494"/>
    <w:rsid w:val="00E207D7"/>
    <w:rsid w:val="00E23851"/>
    <w:rsid w:val="00E24EA3"/>
    <w:rsid w:val="00E24FFA"/>
    <w:rsid w:val="00E25390"/>
    <w:rsid w:val="00E265E0"/>
    <w:rsid w:val="00E26711"/>
    <w:rsid w:val="00E2687C"/>
    <w:rsid w:val="00E27094"/>
    <w:rsid w:val="00E27A1B"/>
    <w:rsid w:val="00E27A43"/>
    <w:rsid w:val="00E27FCE"/>
    <w:rsid w:val="00E31448"/>
    <w:rsid w:val="00E31537"/>
    <w:rsid w:val="00E31708"/>
    <w:rsid w:val="00E31A19"/>
    <w:rsid w:val="00E32345"/>
    <w:rsid w:val="00E33007"/>
    <w:rsid w:val="00E34B96"/>
    <w:rsid w:val="00E34BF8"/>
    <w:rsid w:val="00E35129"/>
    <w:rsid w:val="00E3514B"/>
    <w:rsid w:val="00E35E05"/>
    <w:rsid w:val="00E35ECF"/>
    <w:rsid w:val="00E36C51"/>
    <w:rsid w:val="00E374AE"/>
    <w:rsid w:val="00E37C3A"/>
    <w:rsid w:val="00E40D6B"/>
    <w:rsid w:val="00E40E7B"/>
    <w:rsid w:val="00E426DF"/>
    <w:rsid w:val="00E42E8B"/>
    <w:rsid w:val="00E42FA8"/>
    <w:rsid w:val="00E432CA"/>
    <w:rsid w:val="00E435AA"/>
    <w:rsid w:val="00E442D1"/>
    <w:rsid w:val="00E444D8"/>
    <w:rsid w:val="00E45B85"/>
    <w:rsid w:val="00E466B9"/>
    <w:rsid w:val="00E46E73"/>
    <w:rsid w:val="00E46F99"/>
    <w:rsid w:val="00E4745C"/>
    <w:rsid w:val="00E47B91"/>
    <w:rsid w:val="00E500ED"/>
    <w:rsid w:val="00E51A25"/>
    <w:rsid w:val="00E5281C"/>
    <w:rsid w:val="00E540C2"/>
    <w:rsid w:val="00E551C6"/>
    <w:rsid w:val="00E5558E"/>
    <w:rsid w:val="00E56EB1"/>
    <w:rsid w:val="00E56F10"/>
    <w:rsid w:val="00E574E8"/>
    <w:rsid w:val="00E578DD"/>
    <w:rsid w:val="00E617B4"/>
    <w:rsid w:val="00E61AA2"/>
    <w:rsid w:val="00E6371F"/>
    <w:rsid w:val="00E643EB"/>
    <w:rsid w:val="00E645D4"/>
    <w:rsid w:val="00E649A7"/>
    <w:rsid w:val="00E64BDD"/>
    <w:rsid w:val="00E64E0B"/>
    <w:rsid w:val="00E70D79"/>
    <w:rsid w:val="00E70E70"/>
    <w:rsid w:val="00E7213F"/>
    <w:rsid w:val="00E7223D"/>
    <w:rsid w:val="00E744F4"/>
    <w:rsid w:val="00E74DAA"/>
    <w:rsid w:val="00E77D6D"/>
    <w:rsid w:val="00E8012F"/>
    <w:rsid w:val="00E80545"/>
    <w:rsid w:val="00E80AD9"/>
    <w:rsid w:val="00E80FB3"/>
    <w:rsid w:val="00E82117"/>
    <w:rsid w:val="00E82938"/>
    <w:rsid w:val="00E82C17"/>
    <w:rsid w:val="00E82F6C"/>
    <w:rsid w:val="00E83C9B"/>
    <w:rsid w:val="00E8667B"/>
    <w:rsid w:val="00E86EBD"/>
    <w:rsid w:val="00E91C16"/>
    <w:rsid w:val="00E92D79"/>
    <w:rsid w:val="00E92E53"/>
    <w:rsid w:val="00E93C10"/>
    <w:rsid w:val="00E94DF2"/>
    <w:rsid w:val="00E96014"/>
    <w:rsid w:val="00E960DB"/>
    <w:rsid w:val="00E96443"/>
    <w:rsid w:val="00E977D2"/>
    <w:rsid w:val="00E97ED1"/>
    <w:rsid w:val="00EA0F96"/>
    <w:rsid w:val="00EA17CC"/>
    <w:rsid w:val="00EA1B2C"/>
    <w:rsid w:val="00EA2328"/>
    <w:rsid w:val="00EA4F48"/>
    <w:rsid w:val="00EA6835"/>
    <w:rsid w:val="00EB011B"/>
    <w:rsid w:val="00EB0779"/>
    <w:rsid w:val="00EB24B5"/>
    <w:rsid w:val="00EB3812"/>
    <w:rsid w:val="00EB3F99"/>
    <w:rsid w:val="00EB6022"/>
    <w:rsid w:val="00EB78E2"/>
    <w:rsid w:val="00EC10E9"/>
    <w:rsid w:val="00EC1F74"/>
    <w:rsid w:val="00EC2637"/>
    <w:rsid w:val="00EC287F"/>
    <w:rsid w:val="00EC31EC"/>
    <w:rsid w:val="00EC44F3"/>
    <w:rsid w:val="00EC552B"/>
    <w:rsid w:val="00EC5610"/>
    <w:rsid w:val="00EC7400"/>
    <w:rsid w:val="00ED0A8E"/>
    <w:rsid w:val="00ED189A"/>
    <w:rsid w:val="00ED1AAB"/>
    <w:rsid w:val="00ED31C7"/>
    <w:rsid w:val="00ED3656"/>
    <w:rsid w:val="00ED4CBC"/>
    <w:rsid w:val="00ED54F2"/>
    <w:rsid w:val="00ED551A"/>
    <w:rsid w:val="00ED56CE"/>
    <w:rsid w:val="00ED5916"/>
    <w:rsid w:val="00ED5F23"/>
    <w:rsid w:val="00ED682A"/>
    <w:rsid w:val="00ED6DCA"/>
    <w:rsid w:val="00EE0575"/>
    <w:rsid w:val="00EE0667"/>
    <w:rsid w:val="00EE21A8"/>
    <w:rsid w:val="00EE220C"/>
    <w:rsid w:val="00EE2AB6"/>
    <w:rsid w:val="00EE2CC5"/>
    <w:rsid w:val="00EE2DA8"/>
    <w:rsid w:val="00EE32A0"/>
    <w:rsid w:val="00EE5D6E"/>
    <w:rsid w:val="00EE6A27"/>
    <w:rsid w:val="00EE72C8"/>
    <w:rsid w:val="00EF171D"/>
    <w:rsid w:val="00EF2770"/>
    <w:rsid w:val="00EF2F0A"/>
    <w:rsid w:val="00EF3D44"/>
    <w:rsid w:val="00EF4A3D"/>
    <w:rsid w:val="00EF5067"/>
    <w:rsid w:val="00EF51D8"/>
    <w:rsid w:val="00EF56F4"/>
    <w:rsid w:val="00EF592D"/>
    <w:rsid w:val="00EF5E12"/>
    <w:rsid w:val="00EF71D7"/>
    <w:rsid w:val="00EF74A0"/>
    <w:rsid w:val="00F00252"/>
    <w:rsid w:val="00F00586"/>
    <w:rsid w:val="00F0130E"/>
    <w:rsid w:val="00F020F3"/>
    <w:rsid w:val="00F0235C"/>
    <w:rsid w:val="00F03324"/>
    <w:rsid w:val="00F048A6"/>
    <w:rsid w:val="00F04902"/>
    <w:rsid w:val="00F04EB8"/>
    <w:rsid w:val="00F056F0"/>
    <w:rsid w:val="00F05BE9"/>
    <w:rsid w:val="00F06132"/>
    <w:rsid w:val="00F069B8"/>
    <w:rsid w:val="00F06F6D"/>
    <w:rsid w:val="00F0784B"/>
    <w:rsid w:val="00F10179"/>
    <w:rsid w:val="00F1096F"/>
    <w:rsid w:val="00F10B4D"/>
    <w:rsid w:val="00F122F8"/>
    <w:rsid w:val="00F13617"/>
    <w:rsid w:val="00F13CC6"/>
    <w:rsid w:val="00F14060"/>
    <w:rsid w:val="00F14E46"/>
    <w:rsid w:val="00F15C08"/>
    <w:rsid w:val="00F167D9"/>
    <w:rsid w:val="00F1708E"/>
    <w:rsid w:val="00F179D8"/>
    <w:rsid w:val="00F17B48"/>
    <w:rsid w:val="00F2037C"/>
    <w:rsid w:val="00F2099F"/>
    <w:rsid w:val="00F2150F"/>
    <w:rsid w:val="00F216F3"/>
    <w:rsid w:val="00F21F08"/>
    <w:rsid w:val="00F21F51"/>
    <w:rsid w:val="00F22A47"/>
    <w:rsid w:val="00F23A07"/>
    <w:rsid w:val="00F2405E"/>
    <w:rsid w:val="00F241C0"/>
    <w:rsid w:val="00F24BCA"/>
    <w:rsid w:val="00F25DA1"/>
    <w:rsid w:val="00F2676F"/>
    <w:rsid w:val="00F2788A"/>
    <w:rsid w:val="00F30068"/>
    <w:rsid w:val="00F30614"/>
    <w:rsid w:val="00F316E0"/>
    <w:rsid w:val="00F316E2"/>
    <w:rsid w:val="00F33910"/>
    <w:rsid w:val="00F359EC"/>
    <w:rsid w:val="00F35FE8"/>
    <w:rsid w:val="00F36873"/>
    <w:rsid w:val="00F36EA7"/>
    <w:rsid w:val="00F37584"/>
    <w:rsid w:val="00F379A2"/>
    <w:rsid w:val="00F37BCB"/>
    <w:rsid w:val="00F402BF"/>
    <w:rsid w:val="00F41E70"/>
    <w:rsid w:val="00F42268"/>
    <w:rsid w:val="00F4288D"/>
    <w:rsid w:val="00F43CA7"/>
    <w:rsid w:val="00F43D4E"/>
    <w:rsid w:val="00F44474"/>
    <w:rsid w:val="00F44489"/>
    <w:rsid w:val="00F444FB"/>
    <w:rsid w:val="00F44939"/>
    <w:rsid w:val="00F44B96"/>
    <w:rsid w:val="00F44C47"/>
    <w:rsid w:val="00F44EC9"/>
    <w:rsid w:val="00F44F82"/>
    <w:rsid w:val="00F46028"/>
    <w:rsid w:val="00F467CB"/>
    <w:rsid w:val="00F46B2A"/>
    <w:rsid w:val="00F47007"/>
    <w:rsid w:val="00F47B5B"/>
    <w:rsid w:val="00F5002C"/>
    <w:rsid w:val="00F50E56"/>
    <w:rsid w:val="00F51E71"/>
    <w:rsid w:val="00F520D8"/>
    <w:rsid w:val="00F52138"/>
    <w:rsid w:val="00F53493"/>
    <w:rsid w:val="00F53590"/>
    <w:rsid w:val="00F53E64"/>
    <w:rsid w:val="00F555E1"/>
    <w:rsid w:val="00F57B0A"/>
    <w:rsid w:val="00F602EC"/>
    <w:rsid w:val="00F609D3"/>
    <w:rsid w:val="00F613D0"/>
    <w:rsid w:val="00F61F1E"/>
    <w:rsid w:val="00F6253D"/>
    <w:rsid w:val="00F62F73"/>
    <w:rsid w:val="00F63C77"/>
    <w:rsid w:val="00F63EE0"/>
    <w:rsid w:val="00F63F53"/>
    <w:rsid w:val="00F642B3"/>
    <w:rsid w:val="00F6541D"/>
    <w:rsid w:val="00F65ABD"/>
    <w:rsid w:val="00F65E82"/>
    <w:rsid w:val="00F66ABC"/>
    <w:rsid w:val="00F66F7A"/>
    <w:rsid w:val="00F67877"/>
    <w:rsid w:val="00F67E52"/>
    <w:rsid w:val="00F67EB2"/>
    <w:rsid w:val="00F701E1"/>
    <w:rsid w:val="00F7093D"/>
    <w:rsid w:val="00F714FD"/>
    <w:rsid w:val="00F728AA"/>
    <w:rsid w:val="00F731FC"/>
    <w:rsid w:val="00F732D9"/>
    <w:rsid w:val="00F74AFF"/>
    <w:rsid w:val="00F74B76"/>
    <w:rsid w:val="00F766B0"/>
    <w:rsid w:val="00F7696A"/>
    <w:rsid w:val="00F7726E"/>
    <w:rsid w:val="00F77784"/>
    <w:rsid w:val="00F80F1D"/>
    <w:rsid w:val="00F80FC7"/>
    <w:rsid w:val="00F81D3B"/>
    <w:rsid w:val="00F827DA"/>
    <w:rsid w:val="00F82A0A"/>
    <w:rsid w:val="00F83B7D"/>
    <w:rsid w:val="00F84623"/>
    <w:rsid w:val="00F84ADF"/>
    <w:rsid w:val="00F85121"/>
    <w:rsid w:val="00F8627A"/>
    <w:rsid w:val="00F86503"/>
    <w:rsid w:val="00F90052"/>
    <w:rsid w:val="00F9067B"/>
    <w:rsid w:val="00F906A2"/>
    <w:rsid w:val="00F921D6"/>
    <w:rsid w:val="00F92547"/>
    <w:rsid w:val="00F949E7"/>
    <w:rsid w:val="00F95880"/>
    <w:rsid w:val="00F960AB"/>
    <w:rsid w:val="00F96D85"/>
    <w:rsid w:val="00F96DEE"/>
    <w:rsid w:val="00F96F56"/>
    <w:rsid w:val="00F974A9"/>
    <w:rsid w:val="00FA0AAD"/>
    <w:rsid w:val="00FA159F"/>
    <w:rsid w:val="00FA2EA8"/>
    <w:rsid w:val="00FA2FA0"/>
    <w:rsid w:val="00FA4A33"/>
    <w:rsid w:val="00FA4ECA"/>
    <w:rsid w:val="00FA53C3"/>
    <w:rsid w:val="00FA57CC"/>
    <w:rsid w:val="00FA6022"/>
    <w:rsid w:val="00FA76C0"/>
    <w:rsid w:val="00FB04FA"/>
    <w:rsid w:val="00FB153D"/>
    <w:rsid w:val="00FB2B6D"/>
    <w:rsid w:val="00FB2E53"/>
    <w:rsid w:val="00FB380A"/>
    <w:rsid w:val="00FB5222"/>
    <w:rsid w:val="00FB6DF3"/>
    <w:rsid w:val="00FB728D"/>
    <w:rsid w:val="00FC1639"/>
    <w:rsid w:val="00FC3476"/>
    <w:rsid w:val="00FC3E90"/>
    <w:rsid w:val="00FC491E"/>
    <w:rsid w:val="00FC5102"/>
    <w:rsid w:val="00FC5C4E"/>
    <w:rsid w:val="00FC5F92"/>
    <w:rsid w:val="00FC7297"/>
    <w:rsid w:val="00FD2795"/>
    <w:rsid w:val="00FD3A65"/>
    <w:rsid w:val="00FD444E"/>
    <w:rsid w:val="00FD4D56"/>
    <w:rsid w:val="00FD6BCE"/>
    <w:rsid w:val="00FD73A7"/>
    <w:rsid w:val="00FE035C"/>
    <w:rsid w:val="00FE039B"/>
    <w:rsid w:val="00FE0544"/>
    <w:rsid w:val="00FE055C"/>
    <w:rsid w:val="00FE13DC"/>
    <w:rsid w:val="00FE2135"/>
    <w:rsid w:val="00FE24C3"/>
    <w:rsid w:val="00FE2833"/>
    <w:rsid w:val="00FE2E71"/>
    <w:rsid w:val="00FE3D16"/>
    <w:rsid w:val="00FE4A77"/>
    <w:rsid w:val="00FE5A62"/>
    <w:rsid w:val="00FE61D5"/>
    <w:rsid w:val="00FE6846"/>
    <w:rsid w:val="00FE78F6"/>
    <w:rsid w:val="00FE7D6E"/>
    <w:rsid w:val="00FE7E28"/>
    <w:rsid w:val="00FF0F22"/>
    <w:rsid w:val="00FF1337"/>
    <w:rsid w:val="00FF30FA"/>
    <w:rsid w:val="00FF44AA"/>
    <w:rsid w:val="00FF513C"/>
    <w:rsid w:val="00FF56E9"/>
    <w:rsid w:val="00FF63A9"/>
    <w:rsid w:val="00FF6AC9"/>
    <w:rsid w:val="00FF7515"/>
    <w:rsid w:val="00FF77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D34A20-CA49-4E9F-89C7-2E9135C6B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0EB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A279E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C72497"/>
    <w:pPr>
      <w:spacing w:before="100" w:beforeAutospacing="1" w:after="100" w:afterAutospacing="1"/>
      <w:outlineLvl w:val="1"/>
    </w:pPr>
    <w:rPr>
      <w:b/>
      <w:bCs/>
      <w:sz w:val="36"/>
      <w:szCs w:val="36"/>
    </w:rPr>
  </w:style>
  <w:style w:type="paragraph" w:styleId="3">
    <w:name w:val="heading 3"/>
    <w:basedOn w:val="a"/>
    <w:next w:val="a"/>
    <w:link w:val="30"/>
    <w:uiPriority w:val="9"/>
    <w:semiHidden/>
    <w:unhideWhenUsed/>
    <w:qFormat/>
    <w:rsid w:val="00312A52"/>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B09B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style>
  <w:style w:type="paragraph" w:styleId="a4">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Standart"/>
    <w:basedOn w:val="a"/>
    <w:link w:val="a5"/>
    <w:uiPriority w:val="34"/>
    <w:qFormat/>
    <w:rsid w:val="001B09B6"/>
    <w:pPr>
      <w:ind w:left="720"/>
      <w:contextualSpacing/>
    </w:pPr>
  </w:style>
  <w:style w:type="character" w:customStyle="1" w:styleId="a5">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basedOn w:val="a0"/>
    <w:link w:val="a4"/>
    <w:uiPriority w:val="34"/>
    <w:rsid w:val="001B09B6"/>
    <w:rPr>
      <w:rFonts w:ascii="Times New Roman" w:eastAsia="Times New Roman" w:hAnsi="Times New Roman" w:cs="Times New Roman"/>
      <w:sz w:val="24"/>
      <w:szCs w:val="24"/>
      <w:lang w:eastAsia="ru-RU"/>
    </w:rPr>
  </w:style>
  <w:style w:type="table" w:styleId="a6">
    <w:name w:val="Table Grid"/>
    <w:basedOn w:val="a1"/>
    <w:uiPriority w:val="59"/>
    <w:rsid w:val="001B09B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3">
    <w:name w:val="s_3"/>
    <w:basedOn w:val="a"/>
    <w:rsid w:val="001B09B6"/>
    <w:pPr>
      <w:spacing w:before="100" w:beforeAutospacing="1" w:after="100" w:afterAutospacing="1"/>
    </w:pPr>
  </w:style>
  <w:style w:type="paragraph" w:styleId="a7">
    <w:name w:val="Balloon Text"/>
    <w:basedOn w:val="a"/>
    <w:link w:val="a8"/>
    <w:uiPriority w:val="99"/>
    <w:semiHidden/>
    <w:unhideWhenUsed/>
    <w:rsid w:val="0013442A"/>
    <w:rPr>
      <w:rFonts w:ascii="Segoe UI" w:hAnsi="Segoe UI" w:cs="Segoe UI"/>
      <w:sz w:val="18"/>
      <w:szCs w:val="18"/>
    </w:rPr>
  </w:style>
  <w:style w:type="character" w:customStyle="1" w:styleId="a8">
    <w:name w:val="Текст выноски Знак"/>
    <w:basedOn w:val="a0"/>
    <w:link w:val="a7"/>
    <w:uiPriority w:val="99"/>
    <w:semiHidden/>
    <w:rsid w:val="0013442A"/>
    <w:rPr>
      <w:rFonts w:ascii="Segoe UI" w:eastAsia="Calibri" w:hAnsi="Segoe UI" w:cs="Segoe UI"/>
      <w:sz w:val="18"/>
      <w:szCs w:val="18"/>
    </w:rPr>
  </w:style>
  <w:style w:type="character" w:styleId="a9">
    <w:name w:val="Strong"/>
    <w:basedOn w:val="a0"/>
    <w:uiPriority w:val="22"/>
    <w:qFormat/>
    <w:rsid w:val="00993237"/>
    <w:rPr>
      <w:b/>
      <w:bCs/>
    </w:rPr>
  </w:style>
  <w:style w:type="character" w:styleId="aa">
    <w:name w:val="Hyperlink"/>
    <w:basedOn w:val="a0"/>
    <w:uiPriority w:val="99"/>
    <w:unhideWhenUsed/>
    <w:rsid w:val="00993237"/>
    <w:rPr>
      <w:color w:val="0000FF"/>
      <w:u w:val="single"/>
    </w:rPr>
  </w:style>
  <w:style w:type="paragraph" w:styleId="ab">
    <w:name w:val="Normal (Web)"/>
    <w:basedOn w:val="a"/>
    <w:uiPriority w:val="99"/>
    <w:unhideWhenUsed/>
    <w:rsid w:val="007408F5"/>
    <w:pPr>
      <w:spacing w:before="100" w:beforeAutospacing="1" w:after="100" w:afterAutospacing="1"/>
    </w:pPr>
  </w:style>
  <w:style w:type="character" w:styleId="ac">
    <w:name w:val="Emphasis"/>
    <w:basedOn w:val="a0"/>
    <w:uiPriority w:val="20"/>
    <w:qFormat/>
    <w:rsid w:val="00531AE3"/>
    <w:rPr>
      <w:i/>
      <w:iCs/>
    </w:rPr>
  </w:style>
  <w:style w:type="character" w:customStyle="1" w:styleId="20">
    <w:name w:val="Заголовок 2 Знак"/>
    <w:basedOn w:val="a0"/>
    <w:link w:val="2"/>
    <w:uiPriority w:val="9"/>
    <w:rsid w:val="00C72497"/>
    <w:rPr>
      <w:rFonts w:ascii="Times New Roman" w:eastAsia="Times New Roman" w:hAnsi="Times New Roman" w:cs="Times New Roman"/>
      <w:b/>
      <w:bCs/>
      <w:sz w:val="36"/>
      <w:szCs w:val="36"/>
      <w:lang w:eastAsia="ru-RU"/>
    </w:rPr>
  </w:style>
  <w:style w:type="character" w:customStyle="1" w:styleId="oznaimen">
    <w:name w:val="oz_naimen"/>
    <w:basedOn w:val="a0"/>
    <w:rsid w:val="00C33AFE"/>
  </w:style>
  <w:style w:type="character" w:styleId="ad">
    <w:name w:val="FollowedHyperlink"/>
    <w:basedOn w:val="a0"/>
    <w:uiPriority w:val="99"/>
    <w:semiHidden/>
    <w:unhideWhenUsed/>
    <w:rsid w:val="00A653AA"/>
    <w:rPr>
      <w:color w:val="954F72" w:themeColor="followedHyperlink"/>
      <w:u w:val="single"/>
    </w:rPr>
  </w:style>
  <w:style w:type="character" w:customStyle="1" w:styleId="11">
    <w:name w:val="Неразрешенное упоминание1"/>
    <w:basedOn w:val="a0"/>
    <w:uiPriority w:val="99"/>
    <w:semiHidden/>
    <w:unhideWhenUsed/>
    <w:rsid w:val="003856BC"/>
    <w:rPr>
      <w:color w:val="605E5C"/>
      <w:shd w:val="clear" w:color="auto" w:fill="E1DFDD"/>
    </w:rPr>
  </w:style>
  <w:style w:type="character" w:customStyle="1" w:styleId="30">
    <w:name w:val="Заголовок 3 Знак"/>
    <w:basedOn w:val="a0"/>
    <w:link w:val="3"/>
    <w:uiPriority w:val="9"/>
    <w:semiHidden/>
    <w:rsid w:val="00312A52"/>
    <w:rPr>
      <w:rFonts w:asciiTheme="majorHAnsi" w:eastAsiaTheme="majorEastAsia" w:hAnsiTheme="majorHAnsi" w:cstheme="majorBidi"/>
      <w:color w:val="1F4D78" w:themeColor="accent1" w:themeShade="7F"/>
      <w:sz w:val="24"/>
      <w:szCs w:val="24"/>
      <w:lang w:eastAsia="ru-RU"/>
    </w:rPr>
  </w:style>
  <w:style w:type="character" w:customStyle="1" w:styleId="10">
    <w:name w:val="Заголовок 1 Знак"/>
    <w:basedOn w:val="a0"/>
    <w:link w:val="1"/>
    <w:uiPriority w:val="9"/>
    <w:rsid w:val="00A279E8"/>
    <w:rPr>
      <w:rFonts w:asciiTheme="majorHAnsi" w:eastAsiaTheme="majorEastAsia" w:hAnsiTheme="majorHAnsi" w:cstheme="majorBidi"/>
      <w:color w:val="2E74B5" w:themeColor="accent1" w:themeShade="BF"/>
      <w:sz w:val="32"/>
      <w:szCs w:val="32"/>
      <w:lang w:eastAsia="ru-RU"/>
    </w:rPr>
  </w:style>
  <w:style w:type="character" w:customStyle="1" w:styleId="doccaption">
    <w:name w:val="doccaption"/>
    <w:basedOn w:val="a0"/>
    <w:rsid w:val="00A279E8"/>
  </w:style>
  <w:style w:type="character" w:customStyle="1" w:styleId="publicviewnpadepartmenttitle">
    <w:name w:val="public_view_npa_department_title"/>
    <w:basedOn w:val="a0"/>
    <w:rsid w:val="00BA67DE"/>
  </w:style>
  <w:style w:type="character" w:customStyle="1" w:styleId="publicviewnpaidwrappertext">
    <w:name w:val="public_view_npa_id_wrapper_text"/>
    <w:basedOn w:val="a0"/>
    <w:rsid w:val="00C236F6"/>
  </w:style>
  <w:style w:type="paragraph" w:styleId="ae">
    <w:name w:val="header"/>
    <w:basedOn w:val="a"/>
    <w:link w:val="af"/>
    <w:uiPriority w:val="99"/>
    <w:unhideWhenUsed/>
    <w:rsid w:val="00DF12FF"/>
    <w:pPr>
      <w:tabs>
        <w:tab w:val="center" w:pos="4677"/>
        <w:tab w:val="right" w:pos="9355"/>
      </w:tabs>
    </w:pPr>
  </w:style>
  <w:style w:type="character" w:customStyle="1" w:styleId="af">
    <w:name w:val="Верхний колонтитул Знак"/>
    <w:basedOn w:val="a0"/>
    <w:link w:val="ae"/>
    <w:uiPriority w:val="99"/>
    <w:rsid w:val="00DF12FF"/>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DF12FF"/>
    <w:pPr>
      <w:tabs>
        <w:tab w:val="center" w:pos="4677"/>
        <w:tab w:val="right" w:pos="9355"/>
      </w:tabs>
    </w:pPr>
  </w:style>
  <w:style w:type="character" w:customStyle="1" w:styleId="af1">
    <w:name w:val="Нижний колонтитул Знак"/>
    <w:basedOn w:val="a0"/>
    <w:link w:val="af0"/>
    <w:uiPriority w:val="99"/>
    <w:rsid w:val="00DF12FF"/>
    <w:rPr>
      <w:rFonts w:ascii="Times New Roman" w:eastAsia="Times New Roman" w:hAnsi="Times New Roman" w:cs="Times New Roman"/>
      <w:sz w:val="24"/>
      <w:szCs w:val="24"/>
      <w:lang w:eastAsia="ru-RU"/>
    </w:rPr>
  </w:style>
  <w:style w:type="character" w:customStyle="1" w:styleId="publicviewnpaid">
    <w:name w:val="public_view_npa_id"/>
    <w:basedOn w:val="a0"/>
    <w:rsid w:val="004744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7754">
      <w:bodyDiv w:val="1"/>
      <w:marLeft w:val="0"/>
      <w:marRight w:val="0"/>
      <w:marTop w:val="0"/>
      <w:marBottom w:val="0"/>
      <w:divBdr>
        <w:top w:val="none" w:sz="0" w:space="0" w:color="auto"/>
        <w:left w:val="none" w:sz="0" w:space="0" w:color="auto"/>
        <w:bottom w:val="none" w:sz="0" w:space="0" w:color="auto"/>
        <w:right w:val="none" w:sz="0" w:space="0" w:color="auto"/>
      </w:divBdr>
    </w:div>
    <w:div w:id="3553733">
      <w:bodyDiv w:val="1"/>
      <w:marLeft w:val="0"/>
      <w:marRight w:val="0"/>
      <w:marTop w:val="0"/>
      <w:marBottom w:val="0"/>
      <w:divBdr>
        <w:top w:val="none" w:sz="0" w:space="0" w:color="auto"/>
        <w:left w:val="none" w:sz="0" w:space="0" w:color="auto"/>
        <w:bottom w:val="none" w:sz="0" w:space="0" w:color="auto"/>
        <w:right w:val="none" w:sz="0" w:space="0" w:color="auto"/>
      </w:divBdr>
    </w:div>
    <w:div w:id="16516351">
      <w:bodyDiv w:val="1"/>
      <w:marLeft w:val="0"/>
      <w:marRight w:val="0"/>
      <w:marTop w:val="0"/>
      <w:marBottom w:val="0"/>
      <w:divBdr>
        <w:top w:val="none" w:sz="0" w:space="0" w:color="auto"/>
        <w:left w:val="none" w:sz="0" w:space="0" w:color="auto"/>
        <w:bottom w:val="none" w:sz="0" w:space="0" w:color="auto"/>
        <w:right w:val="none" w:sz="0" w:space="0" w:color="auto"/>
      </w:divBdr>
    </w:div>
    <w:div w:id="16734936">
      <w:bodyDiv w:val="1"/>
      <w:marLeft w:val="0"/>
      <w:marRight w:val="0"/>
      <w:marTop w:val="0"/>
      <w:marBottom w:val="0"/>
      <w:divBdr>
        <w:top w:val="none" w:sz="0" w:space="0" w:color="auto"/>
        <w:left w:val="none" w:sz="0" w:space="0" w:color="auto"/>
        <w:bottom w:val="none" w:sz="0" w:space="0" w:color="auto"/>
        <w:right w:val="none" w:sz="0" w:space="0" w:color="auto"/>
      </w:divBdr>
    </w:div>
    <w:div w:id="17775609">
      <w:bodyDiv w:val="1"/>
      <w:marLeft w:val="0"/>
      <w:marRight w:val="0"/>
      <w:marTop w:val="0"/>
      <w:marBottom w:val="0"/>
      <w:divBdr>
        <w:top w:val="none" w:sz="0" w:space="0" w:color="auto"/>
        <w:left w:val="none" w:sz="0" w:space="0" w:color="auto"/>
        <w:bottom w:val="none" w:sz="0" w:space="0" w:color="auto"/>
        <w:right w:val="none" w:sz="0" w:space="0" w:color="auto"/>
      </w:divBdr>
    </w:div>
    <w:div w:id="23334314">
      <w:bodyDiv w:val="1"/>
      <w:marLeft w:val="0"/>
      <w:marRight w:val="0"/>
      <w:marTop w:val="0"/>
      <w:marBottom w:val="0"/>
      <w:divBdr>
        <w:top w:val="none" w:sz="0" w:space="0" w:color="auto"/>
        <w:left w:val="none" w:sz="0" w:space="0" w:color="auto"/>
        <w:bottom w:val="none" w:sz="0" w:space="0" w:color="auto"/>
        <w:right w:val="none" w:sz="0" w:space="0" w:color="auto"/>
      </w:divBdr>
    </w:div>
    <w:div w:id="23865667">
      <w:bodyDiv w:val="1"/>
      <w:marLeft w:val="0"/>
      <w:marRight w:val="0"/>
      <w:marTop w:val="0"/>
      <w:marBottom w:val="0"/>
      <w:divBdr>
        <w:top w:val="none" w:sz="0" w:space="0" w:color="auto"/>
        <w:left w:val="none" w:sz="0" w:space="0" w:color="auto"/>
        <w:bottom w:val="none" w:sz="0" w:space="0" w:color="auto"/>
        <w:right w:val="none" w:sz="0" w:space="0" w:color="auto"/>
      </w:divBdr>
    </w:div>
    <w:div w:id="26417339">
      <w:bodyDiv w:val="1"/>
      <w:marLeft w:val="0"/>
      <w:marRight w:val="0"/>
      <w:marTop w:val="0"/>
      <w:marBottom w:val="0"/>
      <w:divBdr>
        <w:top w:val="none" w:sz="0" w:space="0" w:color="auto"/>
        <w:left w:val="none" w:sz="0" w:space="0" w:color="auto"/>
        <w:bottom w:val="none" w:sz="0" w:space="0" w:color="auto"/>
        <w:right w:val="none" w:sz="0" w:space="0" w:color="auto"/>
      </w:divBdr>
    </w:div>
    <w:div w:id="42877059">
      <w:bodyDiv w:val="1"/>
      <w:marLeft w:val="0"/>
      <w:marRight w:val="0"/>
      <w:marTop w:val="0"/>
      <w:marBottom w:val="0"/>
      <w:divBdr>
        <w:top w:val="none" w:sz="0" w:space="0" w:color="auto"/>
        <w:left w:val="none" w:sz="0" w:space="0" w:color="auto"/>
        <w:bottom w:val="none" w:sz="0" w:space="0" w:color="auto"/>
        <w:right w:val="none" w:sz="0" w:space="0" w:color="auto"/>
      </w:divBdr>
    </w:div>
    <w:div w:id="45876449">
      <w:bodyDiv w:val="1"/>
      <w:marLeft w:val="0"/>
      <w:marRight w:val="0"/>
      <w:marTop w:val="0"/>
      <w:marBottom w:val="0"/>
      <w:divBdr>
        <w:top w:val="none" w:sz="0" w:space="0" w:color="auto"/>
        <w:left w:val="none" w:sz="0" w:space="0" w:color="auto"/>
        <w:bottom w:val="none" w:sz="0" w:space="0" w:color="auto"/>
        <w:right w:val="none" w:sz="0" w:space="0" w:color="auto"/>
      </w:divBdr>
    </w:div>
    <w:div w:id="48966258">
      <w:bodyDiv w:val="1"/>
      <w:marLeft w:val="0"/>
      <w:marRight w:val="0"/>
      <w:marTop w:val="0"/>
      <w:marBottom w:val="0"/>
      <w:divBdr>
        <w:top w:val="none" w:sz="0" w:space="0" w:color="auto"/>
        <w:left w:val="none" w:sz="0" w:space="0" w:color="auto"/>
        <w:bottom w:val="none" w:sz="0" w:space="0" w:color="auto"/>
        <w:right w:val="none" w:sz="0" w:space="0" w:color="auto"/>
      </w:divBdr>
      <w:divsChild>
        <w:div w:id="1236237007">
          <w:marLeft w:val="0"/>
          <w:marRight w:val="0"/>
          <w:marTop w:val="0"/>
          <w:marBottom w:val="0"/>
          <w:divBdr>
            <w:top w:val="none" w:sz="0" w:space="0" w:color="auto"/>
            <w:left w:val="none" w:sz="0" w:space="0" w:color="auto"/>
            <w:bottom w:val="none" w:sz="0" w:space="0" w:color="auto"/>
            <w:right w:val="none" w:sz="0" w:space="0" w:color="auto"/>
          </w:divBdr>
        </w:div>
      </w:divsChild>
    </w:div>
    <w:div w:id="60447680">
      <w:bodyDiv w:val="1"/>
      <w:marLeft w:val="0"/>
      <w:marRight w:val="0"/>
      <w:marTop w:val="0"/>
      <w:marBottom w:val="0"/>
      <w:divBdr>
        <w:top w:val="none" w:sz="0" w:space="0" w:color="auto"/>
        <w:left w:val="none" w:sz="0" w:space="0" w:color="auto"/>
        <w:bottom w:val="none" w:sz="0" w:space="0" w:color="auto"/>
        <w:right w:val="none" w:sz="0" w:space="0" w:color="auto"/>
      </w:divBdr>
    </w:div>
    <w:div w:id="63532326">
      <w:bodyDiv w:val="1"/>
      <w:marLeft w:val="0"/>
      <w:marRight w:val="0"/>
      <w:marTop w:val="0"/>
      <w:marBottom w:val="0"/>
      <w:divBdr>
        <w:top w:val="none" w:sz="0" w:space="0" w:color="auto"/>
        <w:left w:val="none" w:sz="0" w:space="0" w:color="auto"/>
        <w:bottom w:val="none" w:sz="0" w:space="0" w:color="auto"/>
        <w:right w:val="none" w:sz="0" w:space="0" w:color="auto"/>
      </w:divBdr>
    </w:div>
    <w:div w:id="64382632">
      <w:bodyDiv w:val="1"/>
      <w:marLeft w:val="0"/>
      <w:marRight w:val="0"/>
      <w:marTop w:val="0"/>
      <w:marBottom w:val="0"/>
      <w:divBdr>
        <w:top w:val="none" w:sz="0" w:space="0" w:color="auto"/>
        <w:left w:val="none" w:sz="0" w:space="0" w:color="auto"/>
        <w:bottom w:val="none" w:sz="0" w:space="0" w:color="auto"/>
        <w:right w:val="none" w:sz="0" w:space="0" w:color="auto"/>
      </w:divBdr>
    </w:div>
    <w:div w:id="64841462">
      <w:bodyDiv w:val="1"/>
      <w:marLeft w:val="0"/>
      <w:marRight w:val="0"/>
      <w:marTop w:val="0"/>
      <w:marBottom w:val="0"/>
      <w:divBdr>
        <w:top w:val="none" w:sz="0" w:space="0" w:color="auto"/>
        <w:left w:val="none" w:sz="0" w:space="0" w:color="auto"/>
        <w:bottom w:val="none" w:sz="0" w:space="0" w:color="auto"/>
        <w:right w:val="none" w:sz="0" w:space="0" w:color="auto"/>
      </w:divBdr>
    </w:div>
    <w:div w:id="70587270">
      <w:bodyDiv w:val="1"/>
      <w:marLeft w:val="0"/>
      <w:marRight w:val="0"/>
      <w:marTop w:val="0"/>
      <w:marBottom w:val="0"/>
      <w:divBdr>
        <w:top w:val="none" w:sz="0" w:space="0" w:color="auto"/>
        <w:left w:val="none" w:sz="0" w:space="0" w:color="auto"/>
        <w:bottom w:val="none" w:sz="0" w:space="0" w:color="auto"/>
        <w:right w:val="none" w:sz="0" w:space="0" w:color="auto"/>
      </w:divBdr>
    </w:div>
    <w:div w:id="72167531">
      <w:bodyDiv w:val="1"/>
      <w:marLeft w:val="0"/>
      <w:marRight w:val="0"/>
      <w:marTop w:val="0"/>
      <w:marBottom w:val="0"/>
      <w:divBdr>
        <w:top w:val="none" w:sz="0" w:space="0" w:color="auto"/>
        <w:left w:val="none" w:sz="0" w:space="0" w:color="auto"/>
        <w:bottom w:val="none" w:sz="0" w:space="0" w:color="auto"/>
        <w:right w:val="none" w:sz="0" w:space="0" w:color="auto"/>
      </w:divBdr>
    </w:div>
    <w:div w:id="72972614">
      <w:bodyDiv w:val="1"/>
      <w:marLeft w:val="0"/>
      <w:marRight w:val="0"/>
      <w:marTop w:val="0"/>
      <w:marBottom w:val="0"/>
      <w:divBdr>
        <w:top w:val="none" w:sz="0" w:space="0" w:color="auto"/>
        <w:left w:val="none" w:sz="0" w:space="0" w:color="auto"/>
        <w:bottom w:val="none" w:sz="0" w:space="0" w:color="auto"/>
        <w:right w:val="none" w:sz="0" w:space="0" w:color="auto"/>
      </w:divBdr>
    </w:div>
    <w:div w:id="76900183">
      <w:bodyDiv w:val="1"/>
      <w:marLeft w:val="0"/>
      <w:marRight w:val="0"/>
      <w:marTop w:val="0"/>
      <w:marBottom w:val="0"/>
      <w:divBdr>
        <w:top w:val="none" w:sz="0" w:space="0" w:color="auto"/>
        <w:left w:val="none" w:sz="0" w:space="0" w:color="auto"/>
        <w:bottom w:val="none" w:sz="0" w:space="0" w:color="auto"/>
        <w:right w:val="none" w:sz="0" w:space="0" w:color="auto"/>
      </w:divBdr>
    </w:div>
    <w:div w:id="82849225">
      <w:bodyDiv w:val="1"/>
      <w:marLeft w:val="0"/>
      <w:marRight w:val="0"/>
      <w:marTop w:val="0"/>
      <w:marBottom w:val="0"/>
      <w:divBdr>
        <w:top w:val="none" w:sz="0" w:space="0" w:color="auto"/>
        <w:left w:val="none" w:sz="0" w:space="0" w:color="auto"/>
        <w:bottom w:val="none" w:sz="0" w:space="0" w:color="auto"/>
        <w:right w:val="none" w:sz="0" w:space="0" w:color="auto"/>
      </w:divBdr>
    </w:div>
    <w:div w:id="85466703">
      <w:bodyDiv w:val="1"/>
      <w:marLeft w:val="0"/>
      <w:marRight w:val="0"/>
      <w:marTop w:val="0"/>
      <w:marBottom w:val="0"/>
      <w:divBdr>
        <w:top w:val="none" w:sz="0" w:space="0" w:color="auto"/>
        <w:left w:val="none" w:sz="0" w:space="0" w:color="auto"/>
        <w:bottom w:val="none" w:sz="0" w:space="0" w:color="auto"/>
        <w:right w:val="none" w:sz="0" w:space="0" w:color="auto"/>
      </w:divBdr>
    </w:div>
    <w:div w:id="98333369">
      <w:bodyDiv w:val="1"/>
      <w:marLeft w:val="0"/>
      <w:marRight w:val="0"/>
      <w:marTop w:val="0"/>
      <w:marBottom w:val="0"/>
      <w:divBdr>
        <w:top w:val="none" w:sz="0" w:space="0" w:color="auto"/>
        <w:left w:val="none" w:sz="0" w:space="0" w:color="auto"/>
        <w:bottom w:val="none" w:sz="0" w:space="0" w:color="auto"/>
        <w:right w:val="none" w:sz="0" w:space="0" w:color="auto"/>
      </w:divBdr>
    </w:div>
    <w:div w:id="102505563">
      <w:bodyDiv w:val="1"/>
      <w:marLeft w:val="0"/>
      <w:marRight w:val="0"/>
      <w:marTop w:val="0"/>
      <w:marBottom w:val="0"/>
      <w:divBdr>
        <w:top w:val="none" w:sz="0" w:space="0" w:color="auto"/>
        <w:left w:val="none" w:sz="0" w:space="0" w:color="auto"/>
        <w:bottom w:val="none" w:sz="0" w:space="0" w:color="auto"/>
        <w:right w:val="none" w:sz="0" w:space="0" w:color="auto"/>
      </w:divBdr>
    </w:div>
    <w:div w:id="103893251">
      <w:bodyDiv w:val="1"/>
      <w:marLeft w:val="0"/>
      <w:marRight w:val="0"/>
      <w:marTop w:val="0"/>
      <w:marBottom w:val="0"/>
      <w:divBdr>
        <w:top w:val="none" w:sz="0" w:space="0" w:color="auto"/>
        <w:left w:val="none" w:sz="0" w:space="0" w:color="auto"/>
        <w:bottom w:val="none" w:sz="0" w:space="0" w:color="auto"/>
        <w:right w:val="none" w:sz="0" w:space="0" w:color="auto"/>
      </w:divBdr>
    </w:div>
    <w:div w:id="104154658">
      <w:bodyDiv w:val="1"/>
      <w:marLeft w:val="0"/>
      <w:marRight w:val="0"/>
      <w:marTop w:val="0"/>
      <w:marBottom w:val="0"/>
      <w:divBdr>
        <w:top w:val="none" w:sz="0" w:space="0" w:color="auto"/>
        <w:left w:val="none" w:sz="0" w:space="0" w:color="auto"/>
        <w:bottom w:val="none" w:sz="0" w:space="0" w:color="auto"/>
        <w:right w:val="none" w:sz="0" w:space="0" w:color="auto"/>
      </w:divBdr>
    </w:div>
    <w:div w:id="107890972">
      <w:bodyDiv w:val="1"/>
      <w:marLeft w:val="0"/>
      <w:marRight w:val="0"/>
      <w:marTop w:val="0"/>
      <w:marBottom w:val="0"/>
      <w:divBdr>
        <w:top w:val="none" w:sz="0" w:space="0" w:color="auto"/>
        <w:left w:val="none" w:sz="0" w:space="0" w:color="auto"/>
        <w:bottom w:val="none" w:sz="0" w:space="0" w:color="auto"/>
        <w:right w:val="none" w:sz="0" w:space="0" w:color="auto"/>
      </w:divBdr>
    </w:div>
    <w:div w:id="107965915">
      <w:bodyDiv w:val="1"/>
      <w:marLeft w:val="0"/>
      <w:marRight w:val="0"/>
      <w:marTop w:val="0"/>
      <w:marBottom w:val="0"/>
      <w:divBdr>
        <w:top w:val="none" w:sz="0" w:space="0" w:color="auto"/>
        <w:left w:val="none" w:sz="0" w:space="0" w:color="auto"/>
        <w:bottom w:val="none" w:sz="0" w:space="0" w:color="auto"/>
        <w:right w:val="none" w:sz="0" w:space="0" w:color="auto"/>
      </w:divBdr>
    </w:div>
    <w:div w:id="114836914">
      <w:bodyDiv w:val="1"/>
      <w:marLeft w:val="0"/>
      <w:marRight w:val="0"/>
      <w:marTop w:val="0"/>
      <w:marBottom w:val="0"/>
      <w:divBdr>
        <w:top w:val="none" w:sz="0" w:space="0" w:color="auto"/>
        <w:left w:val="none" w:sz="0" w:space="0" w:color="auto"/>
        <w:bottom w:val="none" w:sz="0" w:space="0" w:color="auto"/>
        <w:right w:val="none" w:sz="0" w:space="0" w:color="auto"/>
      </w:divBdr>
    </w:div>
    <w:div w:id="119616398">
      <w:bodyDiv w:val="1"/>
      <w:marLeft w:val="0"/>
      <w:marRight w:val="0"/>
      <w:marTop w:val="0"/>
      <w:marBottom w:val="0"/>
      <w:divBdr>
        <w:top w:val="none" w:sz="0" w:space="0" w:color="auto"/>
        <w:left w:val="none" w:sz="0" w:space="0" w:color="auto"/>
        <w:bottom w:val="none" w:sz="0" w:space="0" w:color="auto"/>
        <w:right w:val="none" w:sz="0" w:space="0" w:color="auto"/>
      </w:divBdr>
    </w:div>
    <w:div w:id="125240851">
      <w:bodyDiv w:val="1"/>
      <w:marLeft w:val="0"/>
      <w:marRight w:val="0"/>
      <w:marTop w:val="0"/>
      <w:marBottom w:val="0"/>
      <w:divBdr>
        <w:top w:val="none" w:sz="0" w:space="0" w:color="auto"/>
        <w:left w:val="none" w:sz="0" w:space="0" w:color="auto"/>
        <w:bottom w:val="none" w:sz="0" w:space="0" w:color="auto"/>
        <w:right w:val="none" w:sz="0" w:space="0" w:color="auto"/>
      </w:divBdr>
    </w:div>
    <w:div w:id="131482071">
      <w:bodyDiv w:val="1"/>
      <w:marLeft w:val="0"/>
      <w:marRight w:val="0"/>
      <w:marTop w:val="0"/>
      <w:marBottom w:val="0"/>
      <w:divBdr>
        <w:top w:val="none" w:sz="0" w:space="0" w:color="auto"/>
        <w:left w:val="none" w:sz="0" w:space="0" w:color="auto"/>
        <w:bottom w:val="none" w:sz="0" w:space="0" w:color="auto"/>
        <w:right w:val="none" w:sz="0" w:space="0" w:color="auto"/>
      </w:divBdr>
    </w:div>
    <w:div w:id="132795578">
      <w:bodyDiv w:val="1"/>
      <w:marLeft w:val="0"/>
      <w:marRight w:val="0"/>
      <w:marTop w:val="0"/>
      <w:marBottom w:val="0"/>
      <w:divBdr>
        <w:top w:val="none" w:sz="0" w:space="0" w:color="auto"/>
        <w:left w:val="none" w:sz="0" w:space="0" w:color="auto"/>
        <w:bottom w:val="none" w:sz="0" w:space="0" w:color="auto"/>
        <w:right w:val="none" w:sz="0" w:space="0" w:color="auto"/>
      </w:divBdr>
    </w:div>
    <w:div w:id="144588171">
      <w:bodyDiv w:val="1"/>
      <w:marLeft w:val="0"/>
      <w:marRight w:val="0"/>
      <w:marTop w:val="0"/>
      <w:marBottom w:val="0"/>
      <w:divBdr>
        <w:top w:val="none" w:sz="0" w:space="0" w:color="auto"/>
        <w:left w:val="none" w:sz="0" w:space="0" w:color="auto"/>
        <w:bottom w:val="none" w:sz="0" w:space="0" w:color="auto"/>
        <w:right w:val="none" w:sz="0" w:space="0" w:color="auto"/>
      </w:divBdr>
    </w:div>
    <w:div w:id="146408968">
      <w:bodyDiv w:val="1"/>
      <w:marLeft w:val="0"/>
      <w:marRight w:val="0"/>
      <w:marTop w:val="0"/>
      <w:marBottom w:val="0"/>
      <w:divBdr>
        <w:top w:val="none" w:sz="0" w:space="0" w:color="auto"/>
        <w:left w:val="none" w:sz="0" w:space="0" w:color="auto"/>
        <w:bottom w:val="none" w:sz="0" w:space="0" w:color="auto"/>
        <w:right w:val="none" w:sz="0" w:space="0" w:color="auto"/>
      </w:divBdr>
    </w:div>
    <w:div w:id="154534759">
      <w:bodyDiv w:val="1"/>
      <w:marLeft w:val="0"/>
      <w:marRight w:val="0"/>
      <w:marTop w:val="0"/>
      <w:marBottom w:val="0"/>
      <w:divBdr>
        <w:top w:val="none" w:sz="0" w:space="0" w:color="auto"/>
        <w:left w:val="none" w:sz="0" w:space="0" w:color="auto"/>
        <w:bottom w:val="none" w:sz="0" w:space="0" w:color="auto"/>
        <w:right w:val="none" w:sz="0" w:space="0" w:color="auto"/>
      </w:divBdr>
    </w:div>
    <w:div w:id="155417884">
      <w:bodyDiv w:val="1"/>
      <w:marLeft w:val="0"/>
      <w:marRight w:val="0"/>
      <w:marTop w:val="0"/>
      <w:marBottom w:val="0"/>
      <w:divBdr>
        <w:top w:val="none" w:sz="0" w:space="0" w:color="auto"/>
        <w:left w:val="none" w:sz="0" w:space="0" w:color="auto"/>
        <w:bottom w:val="none" w:sz="0" w:space="0" w:color="auto"/>
        <w:right w:val="none" w:sz="0" w:space="0" w:color="auto"/>
      </w:divBdr>
    </w:div>
    <w:div w:id="162550638">
      <w:bodyDiv w:val="1"/>
      <w:marLeft w:val="0"/>
      <w:marRight w:val="0"/>
      <w:marTop w:val="0"/>
      <w:marBottom w:val="0"/>
      <w:divBdr>
        <w:top w:val="none" w:sz="0" w:space="0" w:color="auto"/>
        <w:left w:val="none" w:sz="0" w:space="0" w:color="auto"/>
        <w:bottom w:val="none" w:sz="0" w:space="0" w:color="auto"/>
        <w:right w:val="none" w:sz="0" w:space="0" w:color="auto"/>
      </w:divBdr>
    </w:div>
    <w:div w:id="171846493">
      <w:bodyDiv w:val="1"/>
      <w:marLeft w:val="0"/>
      <w:marRight w:val="0"/>
      <w:marTop w:val="0"/>
      <w:marBottom w:val="0"/>
      <w:divBdr>
        <w:top w:val="none" w:sz="0" w:space="0" w:color="auto"/>
        <w:left w:val="none" w:sz="0" w:space="0" w:color="auto"/>
        <w:bottom w:val="none" w:sz="0" w:space="0" w:color="auto"/>
        <w:right w:val="none" w:sz="0" w:space="0" w:color="auto"/>
      </w:divBdr>
    </w:div>
    <w:div w:id="176621220">
      <w:bodyDiv w:val="1"/>
      <w:marLeft w:val="0"/>
      <w:marRight w:val="0"/>
      <w:marTop w:val="0"/>
      <w:marBottom w:val="0"/>
      <w:divBdr>
        <w:top w:val="none" w:sz="0" w:space="0" w:color="auto"/>
        <w:left w:val="none" w:sz="0" w:space="0" w:color="auto"/>
        <w:bottom w:val="none" w:sz="0" w:space="0" w:color="auto"/>
        <w:right w:val="none" w:sz="0" w:space="0" w:color="auto"/>
      </w:divBdr>
      <w:divsChild>
        <w:div w:id="595672619">
          <w:marLeft w:val="0"/>
          <w:marRight w:val="0"/>
          <w:marTop w:val="0"/>
          <w:marBottom w:val="0"/>
          <w:divBdr>
            <w:top w:val="none" w:sz="0" w:space="0" w:color="auto"/>
            <w:left w:val="none" w:sz="0" w:space="0" w:color="auto"/>
            <w:bottom w:val="none" w:sz="0" w:space="0" w:color="auto"/>
            <w:right w:val="none" w:sz="0" w:space="0" w:color="auto"/>
          </w:divBdr>
        </w:div>
      </w:divsChild>
    </w:div>
    <w:div w:id="178856584">
      <w:bodyDiv w:val="1"/>
      <w:marLeft w:val="0"/>
      <w:marRight w:val="0"/>
      <w:marTop w:val="0"/>
      <w:marBottom w:val="0"/>
      <w:divBdr>
        <w:top w:val="none" w:sz="0" w:space="0" w:color="auto"/>
        <w:left w:val="none" w:sz="0" w:space="0" w:color="auto"/>
        <w:bottom w:val="none" w:sz="0" w:space="0" w:color="auto"/>
        <w:right w:val="none" w:sz="0" w:space="0" w:color="auto"/>
      </w:divBdr>
    </w:div>
    <w:div w:id="182328195">
      <w:bodyDiv w:val="1"/>
      <w:marLeft w:val="0"/>
      <w:marRight w:val="0"/>
      <w:marTop w:val="0"/>
      <w:marBottom w:val="0"/>
      <w:divBdr>
        <w:top w:val="none" w:sz="0" w:space="0" w:color="auto"/>
        <w:left w:val="none" w:sz="0" w:space="0" w:color="auto"/>
        <w:bottom w:val="none" w:sz="0" w:space="0" w:color="auto"/>
        <w:right w:val="none" w:sz="0" w:space="0" w:color="auto"/>
      </w:divBdr>
    </w:div>
    <w:div w:id="187182248">
      <w:bodyDiv w:val="1"/>
      <w:marLeft w:val="0"/>
      <w:marRight w:val="0"/>
      <w:marTop w:val="0"/>
      <w:marBottom w:val="0"/>
      <w:divBdr>
        <w:top w:val="none" w:sz="0" w:space="0" w:color="auto"/>
        <w:left w:val="none" w:sz="0" w:space="0" w:color="auto"/>
        <w:bottom w:val="none" w:sz="0" w:space="0" w:color="auto"/>
        <w:right w:val="none" w:sz="0" w:space="0" w:color="auto"/>
      </w:divBdr>
    </w:div>
    <w:div w:id="195116790">
      <w:bodyDiv w:val="1"/>
      <w:marLeft w:val="0"/>
      <w:marRight w:val="0"/>
      <w:marTop w:val="0"/>
      <w:marBottom w:val="0"/>
      <w:divBdr>
        <w:top w:val="none" w:sz="0" w:space="0" w:color="auto"/>
        <w:left w:val="none" w:sz="0" w:space="0" w:color="auto"/>
        <w:bottom w:val="none" w:sz="0" w:space="0" w:color="auto"/>
        <w:right w:val="none" w:sz="0" w:space="0" w:color="auto"/>
      </w:divBdr>
    </w:div>
    <w:div w:id="197015354">
      <w:bodyDiv w:val="1"/>
      <w:marLeft w:val="0"/>
      <w:marRight w:val="0"/>
      <w:marTop w:val="0"/>
      <w:marBottom w:val="0"/>
      <w:divBdr>
        <w:top w:val="none" w:sz="0" w:space="0" w:color="auto"/>
        <w:left w:val="none" w:sz="0" w:space="0" w:color="auto"/>
        <w:bottom w:val="none" w:sz="0" w:space="0" w:color="auto"/>
        <w:right w:val="none" w:sz="0" w:space="0" w:color="auto"/>
      </w:divBdr>
    </w:div>
    <w:div w:id="205873196">
      <w:bodyDiv w:val="1"/>
      <w:marLeft w:val="0"/>
      <w:marRight w:val="0"/>
      <w:marTop w:val="0"/>
      <w:marBottom w:val="0"/>
      <w:divBdr>
        <w:top w:val="none" w:sz="0" w:space="0" w:color="auto"/>
        <w:left w:val="none" w:sz="0" w:space="0" w:color="auto"/>
        <w:bottom w:val="none" w:sz="0" w:space="0" w:color="auto"/>
        <w:right w:val="none" w:sz="0" w:space="0" w:color="auto"/>
      </w:divBdr>
    </w:div>
    <w:div w:id="211961087">
      <w:bodyDiv w:val="1"/>
      <w:marLeft w:val="0"/>
      <w:marRight w:val="0"/>
      <w:marTop w:val="0"/>
      <w:marBottom w:val="0"/>
      <w:divBdr>
        <w:top w:val="none" w:sz="0" w:space="0" w:color="auto"/>
        <w:left w:val="none" w:sz="0" w:space="0" w:color="auto"/>
        <w:bottom w:val="none" w:sz="0" w:space="0" w:color="auto"/>
        <w:right w:val="none" w:sz="0" w:space="0" w:color="auto"/>
      </w:divBdr>
    </w:div>
    <w:div w:id="218059756">
      <w:bodyDiv w:val="1"/>
      <w:marLeft w:val="0"/>
      <w:marRight w:val="0"/>
      <w:marTop w:val="0"/>
      <w:marBottom w:val="0"/>
      <w:divBdr>
        <w:top w:val="none" w:sz="0" w:space="0" w:color="auto"/>
        <w:left w:val="none" w:sz="0" w:space="0" w:color="auto"/>
        <w:bottom w:val="none" w:sz="0" w:space="0" w:color="auto"/>
        <w:right w:val="none" w:sz="0" w:space="0" w:color="auto"/>
      </w:divBdr>
    </w:div>
    <w:div w:id="228929288">
      <w:bodyDiv w:val="1"/>
      <w:marLeft w:val="0"/>
      <w:marRight w:val="0"/>
      <w:marTop w:val="0"/>
      <w:marBottom w:val="0"/>
      <w:divBdr>
        <w:top w:val="none" w:sz="0" w:space="0" w:color="auto"/>
        <w:left w:val="none" w:sz="0" w:space="0" w:color="auto"/>
        <w:bottom w:val="none" w:sz="0" w:space="0" w:color="auto"/>
        <w:right w:val="none" w:sz="0" w:space="0" w:color="auto"/>
      </w:divBdr>
      <w:divsChild>
        <w:div w:id="467405778">
          <w:marLeft w:val="0"/>
          <w:marRight w:val="0"/>
          <w:marTop w:val="0"/>
          <w:marBottom w:val="0"/>
          <w:divBdr>
            <w:top w:val="none" w:sz="0" w:space="0" w:color="auto"/>
            <w:left w:val="none" w:sz="0" w:space="0" w:color="auto"/>
            <w:bottom w:val="none" w:sz="0" w:space="0" w:color="auto"/>
            <w:right w:val="none" w:sz="0" w:space="0" w:color="auto"/>
          </w:divBdr>
          <w:divsChild>
            <w:div w:id="512839553">
              <w:marLeft w:val="0"/>
              <w:marRight w:val="0"/>
              <w:marTop w:val="0"/>
              <w:marBottom w:val="0"/>
              <w:divBdr>
                <w:top w:val="none" w:sz="0" w:space="0" w:color="auto"/>
                <w:left w:val="none" w:sz="0" w:space="0" w:color="auto"/>
                <w:bottom w:val="none" w:sz="0" w:space="0" w:color="auto"/>
                <w:right w:val="none" w:sz="0" w:space="0" w:color="auto"/>
              </w:divBdr>
              <w:divsChild>
                <w:div w:id="1244799186">
                  <w:marLeft w:val="0"/>
                  <w:marRight w:val="0"/>
                  <w:marTop w:val="0"/>
                  <w:marBottom w:val="0"/>
                  <w:divBdr>
                    <w:top w:val="none" w:sz="0" w:space="0" w:color="auto"/>
                    <w:left w:val="none" w:sz="0" w:space="0" w:color="auto"/>
                    <w:bottom w:val="none" w:sz="0" w:space="0" w:color="auto"/>
                    <w:right w:val="none" w:sz="0" w:space="0" w:color="auto"/>
                  </w:divBdr>
                  <w:divsChild>
                    <w:div w:id="1797983775">
                      <w:marLeft w:val="0"/>
                      <w:marRight w:val="0"/>
                      <w:marTop w:val="0"/>
                      <w:marBottom w:val="0"/>
                      <w:divBdr>
                        <w:top w:val="none" w:sz="0" w:space="0" w:color="auto"/>
                        <w:left w:val="none" w:sz="0" w:space="0" w:color="auto"/>
                        <w:bottom w:val="none" w:sz="0" w:space="0" w:color="auto"/>
                        <w:right w:val="none" w:sz="0" w:space="0" w:color="auto"/>
                      </w:divBdr>
                      <w:divsChild>
                        <w:div w:id="8376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5938138">
      <w:bodyDiv w:val="1"/>
      <w:marLeft w:val="0"/>
      <w:marRight w:val="0"/>
      <w:marTop w:val="0"/>
      <w:marBottom w:val="0"/>
      <w:divBdr>
        <w:top w:val="none" w:sz="0" w:space="0" w:color="auto"/>
        <w:left w:val="none" w:sz="0" w:space="0" w:color="auto"/>
        <w:bottom w:val="none" w:sz="0" w:space="0" w:color="auto"/>
        <w:right w:val="none" w:sz="0" w:space="0" w:color="auto"/>
      </w:divBdr>
    </w:div>
    <w:div w:id="237059019">
      <w:bodyDiv w:val="1"/>
      <w:marLeft w:val="0"/>
      <w:marRight w:val="0"/>
      <w:marTop w:val="0"/>
      <w:marBottom w:val="0"/>
      <w:divBdr>
        <w:top w:val="none" w:sz="0" w:space="0" w:color="auto"/>
        <w:left w:val="none" w:sz="0" w:space="0" w:color="auto"/>
        <w:bottom w:val="none" w:sz="0" w:space="0" w:color="auto"/>
        <w:right w:val="none" w:sz="0" w:space="0" w:color="auto"/>
      </w:divBdr>
    </w:div>
    <w:div w:id="240529149">
      <w:bodyDiv w:val="1"/>
      <w:marLeft w:val="0"/>
      <w:marRight w:val="0"/>
      <w:marTop w:val="0"/>
      <w:marBottom w:val="0"/>
      <w:divBdr>
        <w:top w:val="none" w:sz="0" w:space="0" w:color="auto"/>
        <w:left w:val="none" w:sz="0" w:space="0" w:color="auto"/>
        <w:bottom w:val="none" w:sz="0" w:space="0" w:color="auto"/>
        <w:right w:val="none" w:sz="0" w:space="0" w:color="auto"/>
      </w:divBdr>
    </w:div>
    <w:div w:id="245379423">
      <w:bodyDiv w:val="1"/>
      <w:marLeft w:val="0"/>
      <w:marRight w:val="0"/>
      <w:marTop w:val="0"/>
      <w:marBottom w:val="0"/>
      <w:divBdr>
        <w:top w:val="none" w:sz="0" w:space="0" w:color="auto"/>
        <w:left w:val="none" w:sz="0" w:space="0" w:color="auto"/>
        <w:bottom w:val="none" w:sz="0" w:space="0" w:color="auto"/>
        <w:right w:val="none" w:sz="0" w:space="0" w:color="auto"/>
      </w:divBdr>
    </w:div>
    <w:div w:id="250357131">
      <w:bodyDiv w:val="1"/>
      <w:marLeft w:val="0"/>
      <w:marRight w:val="0"/>
      <w:marTop w:val="0"/>
      <w:marBottom w:val="0"/>
      <w:divBdr>
        <w:top w:val="none" w:sz="0" w:space="0" w:color="auto"/>
        <w:left w:val="none" w:sz="0" w:space="0" w:color="auto"/>
        <w:bottom w:val="none" w:sz="0" w:space="0" w:color="auto"/>
        <w:right w:val="none" w:sz="0" w:space="0" w:color="auto"/>
      </w:divBdr>
    </w:div>
    <w:div w:id="251741385">
      <w:bodyDiv w:val="1"/>
      <w:marLeft w:val="0"/>
      <w:marRight w:val="0"/>
      <w:marTop w:val="0"/>
      <w:marBottom w:val="0"/>
      <w:divBdr>
        <w:top w:val="none" w:sz="0" w:space="0" w:color="auto"/>
        <w:left w:val="none" w:sz="0" w:space="0" w:color="auto"/>
        <w:bottom w:val="none" w:sz="0" w:space="0" w:color="auto"/>
        <w:right w:val="none" w:sz="0" w:space="0" w:color="auto"/>
      </w:divBdr>
    </w:div>
    <w:div w:id="258222469">
      <w:bodyDiv w:val="1"/>
      <w:marLeft w:val="0"/>
      <w:marRight w:val="0"/>
      <w:marTop w:val="0"/>
      <w:marBottom w:val="0"/>
      <w:divBdr>
        <w:top w:val="none" w:sz="0" w:space="0" w:color="auto"/>
        <w:left w:val="none" w:sz="0" w:space="0" w:color="auto"/>
        <w:bottom w:val="none" w:sz="0" w:space="0" w:color="auto"/>
        <w:right w:val="none" w:sz="0" w:space="0" w:color="auto"/>
      </w:divBdr>
    </w:div>
    <w:div w:id="268127890">
      <w:bodyDiv w:val="1"/>
      <w:marLeft w:val="0"/>
      <w:marRight w:val="0"/>
      <w:marTop w:val="0"/>
      <w:marBottom w:val="0"/>
      <w:divBdr>
        <w:top w:val="none" w:sz="0" w:space="0" w:color="auto"/>
        <w:left w:val="none" w:sz="0" w:space="0" w:color="auto"/>
        <w:bottom w:val="none" w:sz="0" w:space="0" w:color="auto"/>
        <w:right w:val="none" w:sz="0" w:space="0" w:color="auto"/>
      </w:divBdr>
      <w:divsChild>
        <w:div w:id="1724713738">
          <w:marLeft w:val="0"/>
          <w:marRight w:val="0"/>
          <w:marTop w:val="0"/>
          <w:marBottom w:val="0"/>
          <w:divBdr>
            <w:top w:val="none" w:sz="0" w:space="0" w:color="auto"/>
            <w:left w:val="none" w:sz="0" w:space="0" w:color="auto"/>
            <w:bottom w:val="none" w:sz="0" w:space="0" w:color="auto"/>
            <w:right w:val="none" w:sz="0" w:space="0" w:color="auto"/>
          </w:divBdr>
        </w:div>
      </w:divsChild>
    </w:div>
    <w:div w:id="271132788">
      <w:bodyDiv w:val="1"/>
      <w:marLeft w:val="0"/>
      <w:marRight w:val="0"/>
      <w:marTop w:val="0"/>
      <w:marBottom w:val="0"/>
      <w:divBdr>
        <w:top w:val="none" w:sz="0" w:space="0" w:color="auto"/>
        <w:left w:val="none" w:sz="0" w:space="0" w:color="auto"/>
        <w:bottom w:val="none" w:sz="0" w:space="0" w:color="auto"/>
        <w:right w:val="none" w:sz="0" w:space="0" w:color="auto"/>
      </w:divBdr>
    </w:div>
    <w:div w:id="278801416">
      <w:bodyDiv w:val="1"/>
      <w:marLeft w:val="0"/>
      <w:marRight w:val="0"/>
      <w:marTop w:val="0"/>
      <w:marBottom w:val="0"/>
      <w:divBdr>
        <w:top w:val="none" w:sz="0" w:space="0" w:color="auto"/>
        <w:left w:val="none" w:sz="0" w:space="0" w:color="auto"/>
        <w:bottom w:val="none" w:sz="0" w:space="0" w:color="auto"/>
        <w:right w:val="none" w:sz="0" w:space="0" w:color="auto"/>
      </w:divBdr>
    </w:div>
    <w:div w:id="282151212">
      <w:bodyDiv w:val="1"/>
      <w:marLeft w:val="0"/>
      <w:marRight w:val="0"/>
      <w:marTop w:val="0"/>
      <w:marBottom w:val="0"/>
      <w:divBdr>
        <w:top w:val="none" w:sz="0" w:space="0" w:color="auto"/>
        <w:left w:val="none" w:sz="0" w:space="0" w:color="auto"/>
        <w:bottom w:val="none" w:sz="0" w:space="0" w:color="auto"/>
        <w:right w:val="none" w:sz="0" w:space="0" w:color="auto"/>
      </w:divBdr>
    </w:div>
    <w:div w:id="286353589">
      <w:bodyDiv w:val="1"/>
      <w:marLeft w:val="0"/>
      <w:marRight w:val="0"/>
      <w:marTop w:val="0"/>
      <w:marBottom w:val="0"/>
      <w:divBdr>
        <w:top w:val="none" w:sz="0" w:space="0" w:color="auto"/>
        <w:left w:val="none" w:sz="0" w:space="0" w:color="auto"/>
        <w:bottom w:val="none" w:sz="0" w:space="0" w:color="auto"/>
        <w:right w:val="none" w:sz="0" w:space="0" w:color="auto"/>
      </w:divBdr>
    </w:div>
    <w:div w:id="288318631">
      <w:bodyDiv w:val="1"/>
      <w:marLeft w:val="0"/>
      <w:marRight w:val="0"/>
      <w:marTop w:val="0"/>
      <w:marBottom w:val="0"/>
      <w:divBdr>
        <w:top w:val="none" w:sz="0" w:space="0" w:color="auto"/>
        <w:left w:val="none" w:sz="0" w:space="0" w:color="auto"/>
        <w:bottom w:val="none" w:sz="0" w:space="0" w:color="auto"/>
        <w:right w:val="none" w:sz="0" w:space="0" w:color="auto"/>
      </w:divBdr>
    </w:div>
    <w:div w:id="295599392">
      <w:bodyDiv w:val="1"/>
      <w:marLeft w:val="0"/>
      <w:marRight w:val="0"/>
      <w:marTop w:val="0"/>
      <w:marBottom w:val="0"/>
      <w:divBdr>
        <w:top w:val="none" w:sz="0" w:space="0" w:color="auto"/>
        <w:left w:val="none" w:sz="0" w:space="0" w:color="auto"/>
        <w:bottom w:val="none" w:sz="0" w:space="0" w:color="auto"/>
        <w:right w:val="none" w:sz="0" w:space="0" w:color="auto"/>
      </w:divBdr>
      <w:divsChild>
        <w:div w:id="1482236200">
          <w:marLeft w:val="0"/>
          <w:marRight w:val="0"/>
          <w:marTop w:val="0"/>
          <w:marBottom w:val="0"/>
          <w:divBdr>
            <w:top w:val="none" w:sz="0" w:space="0" w:color="auto"/>
            <w:left w:val="none" w:sz="0" w:space="0" w:color="auto"/>
            <w:bottom w:val="none" w:sz="0" w:space="0" w:color="auto"/>
            <w:right w:val="none" w:sz="0" w:space="0" w:color="auto"/>
          </w:divBdr>
        </w:div>
      </w:divsChild>
    </w:div>
    <w:div w:id="295916557">
      <w:bodyDiv w:val="1"/>
      <w:marLeft w:val="0"/>
      <w:marRight w:val="0"/>
      <w:marTop w:val="0"/>
      <w:marBottom w:val="0"/>
      <w:divBdr>
        <w:top w:val="none" w:sz="0" w:space="0" w:color="auto"/>
        <w:left w:val="none" w:sz="0" w:space="0" w:color="auto"/>
        <w:bottom w:val="none" w:sz="0" w:space="0" w:color="auto"/>
        <w:right w:val="none" w:sz="0" w:space="0" w:color="auto"/>
      </w:divBdr>
    </w:div>
    <w:div w:id="300498018">
      <w:bodyDiv w:val="1"/>
      <w:marLeft w:val="0"/>
      <w:marRight w:val="0"/>
      <w:marTop w:val="0"/>
      <w:marBottom w:val="0"/>
      <w:divBdr>
        <w:top w:val="none" w:sz="0" w:space="0" w:color="auto"/>
        <w:left w:val="none" w:sz="0" w:space="0" w:color="auto"/>
        <w:bottom w:val="none" w:sz="0" w:space="0" w:color="auto"/>
        <w:right w:val="none" w:sz="0" w:space="0" w:color="auto"/>
      </w:divBdr>
    </w:div>
    <w:div w:id="305401239">
      <w:bodyDiv w:val="1"/>
      <w:marLeft w:val="0"/>
      <w:marRight w:val="0"/>
      <w:marTop w:val="0"/>
      <w:marBottom w:val="0"/>
      <w:divBdr>
        <w:top w:val="none" w:sz="0" w:space="0" w:color="auto"/>
        <w:left w:val="none" w:sz="0" w:space="0" w:color="auto"/>
        <w:bottom w:val="none" w:sz="0" w:space="0" w:color="auto"/>
        <w:right w:val="none" w:sz="0" w:space="0" w:color="auto"/>
      </w:divBdr>
    </w:div>
    <w:div w:id="308487508">
      <w:bodyDiv w:val="1"/>
      <w:marLeft w:val="0"/>
      <w:marRight w:val="0"/>
      <w:marTop w:val="0"/>
      <w:marBottom w:val="0"/>
      <w:divBdr>
        <w:top w:val="none" w:sz="0" w:space="0" w:color="auto"/>
        <w:left w:val="none" w:sz="0" w:space="0" w:color="auto"/>
        <w:bottom w:val="none" w:sz="0" w:space="0" w:color="auto"/>
        <w:right w:val="none" w:sz="0" w:space="0" w:color="auto"/>
      </w:divBdr>
    </w:div>
    <w:div w:id="311834808">
      <w:bodyDiv w:val="1"/>
      <w:marLeft w:val="0"/>
      <w:marRight w:val="0"/>
      <w:marTop w:val="0"/>
      <w:marBottom w:val="0"/>
      <w:divBdr>
        <w:top w:val="none" w:sz="0" w:space="0" w:color="auto"/>
        <w:left w:val="none" w:sz="0" w:space="0" w:color="auto"/>
        <w:bottom w:val="none" w:sz="0" w:space="0" w:color="auto"/>
        <w:right w:val="none" w:sz="0" w:space="0" w:color="auto"/>
      </w:divBdr>
    </w:div>
    <w:div w:id="311908573">
      <w:bodyDiv w:val="1"/>
      <w:marLeft w:val="0"/>
      <w:marRight w:val="0"/>
      <w:marTop w:val="0"/>
      <w:marBottom w:val="0"/>
      <w:divBdr>
        <w:top w:val="none" w:sz="0" w:space="0" w:color="auto"/>
        <w:left w:val="none" w:sz="0" w:space="0" w:color="auto"/>
        <w:bottom w:val="none" w:sz="0" w:space="0" w:color="auto"/>
        <w:right w:val="none" w:sz="0" w:space="0" w:color="auto"/>
      </w:divBdr>
    </w:div>
    <w:div w:id="317422874">
      <w:bodyDiv w:val="1"/>
      <w:marLeft w:val="0"/>
      <w:marRight w:val="0"/>
      <w:marTop w:val="0"/>
      <w:marBottom w:val="0"/>
      <w:divBdr>
        <w:top w:val="none" w:sz="0" w:space="0" w:color="auto"/>
        <w:left w:val="none" w:sz="0" w:space="0" w:color="auto"/>
        <w:bottom w:val="none" w:sz="0" w:space="0" w:color="auto"/>
        <w:right w:val="none" w:sz="0" w:space="0" w:color="auto"/>
      </w:divBdr>
      <w:divsChild>
        <w:div w:id="973363260">
          <w:marLeft w:val="0"/>
          <w:marRight w:val="0"/>
          <w:marTop w:val="0"/>
          <w:marBottom w:val="0"/>
          <w:divBdr>
            <w:top w:val="none" w:sz="0" w:space="0" w:color="auto"/>
            <w:left w:val="none" w:sz="0" w:space="0" w:color="auto"/>
            <w:bottom w:val="none" w:sz="0" w:space="0" w:color="auto"/>
            <w:right w:val="none" w:sz="0" w:space="0" w:color="auto"/>
          </w:divBdr>
        </w:div>
      </w:divsChild>
    </w:div>
    <w:div w:id="318385450">
      <w:bodyDiv w:val="1"/>
      <w:marLeft w:val="0"/>
      <w:marRight w:val="0"/>
      <w:marTop w:val="0"/>
      <w:marBottom w:val="0"/>
      <w:divBdr>
        <w:top w:val="none" w:sz="0" w:space="0" w:color="auto"/>
        <w:left w:val="none" w:sz="0" w:space="0" w:color="auto"/>
        <w:bottom w:val="none" w:sz="0" w:space="0" w:color="auto"/>
        <w:right w:val="none" w:sz="0" w:space="0" w:color="auto"/>
      </w:divBdr>
    </w:div>
    <w:div w:id="320621303">
      <w:bodyDiv w:val="1"/>
      <w:marLeft w:val="0"/>
      <w:marRight w:val="0"/>
      <w:marTop w:val="0"/>
      <w:marBottom w:val="0"/>
      <w:divBdr>
        <w:top w:val="none" w:sz="0" w:space="0" w:color="auto"/>
        <w:left w:val="none" w:sz="0" w:space="0" w:color="auto"/>
        <w:bottom w:val="none" w:sz="0" w:space="0" w:color="auto"/>
        <w:right w:val="none" w:sz="0" w:space="0" w:color="auto"/>
      </w:divBdr>
    </w:div>
    <w:div w:id="327712027">
      <w:bodyDiv w:val="1"/>
      <w:marLeft w:val="0"/>
      <w:marRight w:val="0"/>
      <w:marTop w:val="0"/>
      <w:marBottom w:val="0"/>
      <w:divBdr>
        <w:top w:val="none" w:sz="0" w:space="0" w:color="auto"/>
        <w:left w:val="none" w:sz="0" w:space="0" w:color="auto"/>
        <w:bottom w:val="none" w:sz="0" w:space="0" w:color="auto"/>
        <w:right w:val="none" w:sz="0" w:space="0" w:color="auto"/>
      </w:divBdr>
    </w:div>
    <w:div w:id="335766150">
      <w:bodyDiv w:val="1"/>
      <w:marLeft w:val="0"/>
      <w:marRight w:val="0"/>
      <w:marTop w:val="0"/>
      <w:marBottom w:val="0"/>
      <w:divBdr>
        <w:top w:val="none" w:sz="0" w:space="0" w:color="auto"/>
        <w:left w:val="none" w:sz="0" w:space="0" w:color="auto"/>
        <w:bottom w:val="none" w:sz="0" w:space="0" w:color="auto"/>
        <w:right w:val="none" w:sz="0" w:space="0" w:color="auto"/>
      </w:divBdr>
    </w:div>
    <w:div w:id="338656213">
      <w:bodyDiv w:val="1"/>
      <w:marLeft w:val="0"/>
      <w:marRight w:val="0"/>
      <w:marTop w:val="0"/>
      <w:marBottom w:val="0"/>
      <w:divBdr>
        <w:top w:val="none" w:sz="0" w:space="0" w:color="auto"/>
        <w:left w:val="none" w:sz="0" w:space="0" w:color="auto"/>
        <w:bottom w:val="none" w:sz="0" w:space="0" w:color="auto"/>
        <w:right w:val="none" w:sz="0" w:space="0" w:color="auto"/>
      </w:divBdr>
    </w:div>
    <w:div w:id="340353333">
      <w:bodyDiv w:val="1"/>
      <w:marLeft w:val="0"/>
      <w:marRight w:val="0"/>
      <w:marTop w:val="0"/>
      <w:marBottom w:val="0"/>
      <w:divBdr>
        <w:top w:val="none" w:sz="0" w:space="0" w:color="auto"/>
        <w:left w:val="none" w:sz="0" w:space="0" w:color="auto"/>
        <w:bottom w:val="none" w:sz="0" w:space="0" w:color="auto"/>
        <w:right w:val="none" w:sz="0" w:space="0" w:color="auto"/>
      </w:divBdr>
    </w:div>
    <w:div w:id="343366968">
      <w:bodyDiv w:val="1"/>
      <w:marLeft w:val="0"/>
      <w:marRight w:val="0"/>
      <w:marTop w:val="0"/>
      <w:marBottom w:val="0"/>
      <w:divBdr>
        <w:top w:val="none" w:sz="0" w:space="0" w:color="auto"/>
        <w:left w:val="none" w:sz="0" w:space="0" w:color="auto"/>
        <w:bottom w:val="none" w:sz="0" w:space="0" w:color="auto"/>
        <w:right w:val="none" w:sz="0" w:space="0" w:color="auto"/>
      </w:divBdr>
    </w:div>
    <w:div w:id="345909091">
      <w:bodyDiv w:val="1"/>
      <w:marLeft w:val="0"/>
      <w:marRight w:val="0"/>
      <w:marTop w:val="0"/>
      <w:marBottom w:val="0"/>
      <w:divBdr>
        <w:top w:val="none" w:sz="0" w:space="0" w:color="auto"/>
        <w:left w:val="none" w:sz="0" w:space="0" w:color="auto"/>
        <w:bottom w:val="none" w:sz="0" w:space="0" w:color="auto"/>
        <w:right w:val="none" w:sz="0" w:space="0" w:color="auto"/>
      </w:divBdr>
      <w:divsChild>
        <w:div w:id="345980350">
          <w:marLeft w:val="0"/>
          <w:marRight w:val="0"/>
          <w:marTop w:val="0"/>
          <w:marBottom w:val="0"/>
          <w:divBdr>
            <w:top w:val="none" w:sz="0" w:space="0" w:color="auto"/>
            <w:left w:val="none" w:sz="0" w:space="0" w:color="auto"/>
            <w:bottom w:val="none" w:sz="0" w:space="0" w:color="auto"/>
            <w:right w:val="none" w:sz="0" w:space="0" w:color="auto"/>
          </w:divBdr>
        </w:div>
      </w:divsChild>
    </w:div>
    <w:div w:id="350645848">
      <w:bodyDiv w:val="1"/>
      <w:marLeft w:val="0"/>
      <w:marRight w:val="0"/>
      <w:marTop w:val="0"/>
      <w:marBottom w:val="0"/>
      <w:divBdr>
        <w:top w:val="none" w:sz="0" w:space="0" w:color="auto"/>
        <w:left w:val="none" w:sz="0" w:space="0" w:color="auto"/>
        <w:bottom w:val="none" w:sz="0" w:space="0" w:color="auto"/>
        <w:right w:val="none" w:sz="0" w:space="0" w:color="auto"/>
      </w:divBdr>
    </w:div>
    <w:div w:id="356348875">
      <w:bodyDiv w:val="1"/>
      <w:marLeft w:val="0"/>
      <w:marRight w:val="0"/>
      <w:marTop w:val="0"/>
      <w:marBottom w:val="0"/>
      <w:divBdr>
        <w:top w:val="none" w:sz="0" w:space="0" w:color="auto"/>
        <w:left w:val="none" w:sz="0" w:space="0" w:color="auto"/>
        <w:bottom w:val="none" w:sz="0" w:space="0" w:color="auto"/>
        <w:right w:val="none" w:sz="0" w:space="0" w:color="auto"/>
      </w:divBdr>
    </w:div>
    <w:div w:id="357701961">
      <w:bodyDiv w:val="1"/>
      <w:marLeft w:val="0"/>
      <w:marRight w:val="0"/>
      <w:marTop w:val="0"/>
      <w:marBottom w:val="0"/>
      <w:divBdr>
        <w:top w:val="none" w:sz="0" w:space="0" w:color="auto"/>
        <w:left w:val="none" w:sz="0" w:space="0" w:color="auto"/>
        <w:bottom w:val="none" w:sz="0" w:space="0" w:color="auto"/>
        <w:right w:val="none" w:sz="0" w:space="0" w:color="auto"/>
      </w:divBdr>
    </w:div>
    <w:div w:id="360281887">
      <w:bodyDiv w:val="1"/>
      <w:marLeft w:val="0"/>
      <w:marRight w:val="0"/>
      <w:marTop w:val="0"/>
      <w:marBottom w:val="0"/>
      <w:divBdr>
        <w:top w:val="none" w:sz="0" w:space="0" w:color="auto"/>
        <w:left w:val="none" w:sz="0" w:space="0" w:color="auto"/>
        <w:bottom w:val="none" w:sz="0" w:space="0" w:color="auto"/>
        <w:right w:val="none" w:sz="0" w:space="0" w:color="auto"/>
      </w:divBdr>
    </w:div>
    <w:div w:id="361171004">
      <w:bodyDiv w:val="1"/>
      <w:marLeft w:val="0"/>
      <w:marRight w:val="0"/>
      <w:marTop w:val="0"/>
      <w:marBottom w:val="0"/>
      <w:divBdr>
        <w:top w:val="none" w:sz="0" w:space="0" w:color="auto"/>
        <w:left w:val="none" w:sz="0" w:space="0" w:color="auto"/>
        <w:bottom w:val="none" w:sz="0" w:space="0" w:color="auto"/>
        <w:right w:val="none" w:sz="0" w:space="0" w:color="auto"/>
      </w:divBdr>
    </w:div>
    <w:div w:id="370306367">
      <w:bodyDiv w:val="1"/>
      <w:marLeft w:val="0"/>
      <w:marRight w:val="0"/>
      <w:marTop w:val="0"/>
      <w:marBottom w:val="0"/>
      <w:divBdr>
        <w:top w:val="none" w:sz="0" w:space="0" w:color="auto"/>
        <w:left w:val="none" w:sz="0" w:space="0" w:color="auto"/>
        <w:bottom w:val="none" w:sz="0" w:space="0" w:color="auto"/>
        <w:right w:val="none" w:sz="0" w:space="0" w:color="auto"/>
      </w:divBdr>
    </w:div>
    <w:div w:id="373627046">
      <w:bodyDiv w:val="1"/>
      <w:marLeft w:val="0"/>
      <w:marRight w:val="0"/>
      <w:marTop w:val="0"/>
      <w:marBottom w:val="0"/>
      <w:divBdr>
        <w:top w:val="none" w:sz="0" w:space="0" w:color="auto"/>
        <w:left w:val="none" w:sz="0" w:space="0" w:color="auto"/>
        <w:bottom w:val="none" w:sz="0" w:space="0" w:color="auto"/>
        <w:right w:val="none" w:sz="0" w:space="0" w:color="auto"/>
      </w:divBdr>
    </w:div>
    <w:div w:id="375155956">
      <w:bodyDiv w:val="1"/>
      <w:marLeft w:val="0"/>
      <w:marRight w:val="0"/>
      <w:marTop w:val="0"/>
      <w:marBottom w:val="0"/>
      <w:divBdr>
        <w:top w:val="none" w:sz="0" w:space="0" w:color="auto"/>
        <w:left w:val="none" w:sz="0" w:space="0" w:color="auto"/>
        <w:bottom w:val="none" w:sz="0" w:space="0" w:color="auto"/>
        <w:right w:val="none" w:sz="0" w:space="0" w:color="auto"/>
      </w:divBdr>
    </w:div>
    <w:div w:id="376704439">
      <w:bodyDiv w:val="1"/>
      <w:marLeft w:val="0"/>
      <w:marRight w:val="0"/>
      <w:marTop w:val="0"/>
      <w:marBottom w:val="0"/>
      <w:divBdr>
        <w:top w:val="none" w:sz="0" w:space="0" w:color="auto"/>
        <w:left w:val="none" w:sz="0" w:space="0" w:color="auto"/>
        <w:bottom w:val="none" w:sz="0" w:space="0" w:color="auto"/>
        <w:right w:val="none" w:sz="0" w:space="0" w:color="auto"/>
      </w:divBdr>
    </w:div>
    <w:div w:id="381641469">
      <w:bodyDiv w:val="1"/>
      <w:marLeft w:val="0"/>
      <w:marRight w:val="0"/>
      <w:marTop w:val="0"/>
      <w:marBottom w:val="0"/>
      <w:divBdr>
        <w:top w:val="none" w:sz="0" w:space="0" w:color="auto"/>
        <w:left w:val="none" w:sz="0" w:space="0" w:color="auto"/>
        <w:bottom w:val="none" w:sz="0" w:space="0" w:color="auto"/>
        <w:right w:val="none" w:sz="0" w:space="0" w:color="auto"/>
      </w:divBdr>
    </w:div>
    <w:div w:id="386491632">
      <w:bodyDiv w:val="1"/>
      <w:marLeft w:val="0"/>
      <w:marRight w:val="0"/>
      <w:marTop w:val="0"/>
      <w:marBottom w:val="0"/>
      <w:divBdr>
        <w:top w:val="none" w:sz="0" w:space="0" w:color="auto"/>
        <w:left w:val="none" w:sz="0" w:space="0" w:color="auto"/>
        <w:bottom w:val="none" w:sz="0" w:space="0" w:color="auto"/>
        <w:right w:val="none" w:sz="0" w:space="0" w:color="auto"/>
      </w:divBdr>
    </w:div>
    <w:div w:id="386540243">
      <w:bodyDiv w:val="1"/>
      <w:marLeft w:val="0"/>
      <w:marRight w:val="0"/>
      <w:marTop w:val="0"/>
      <w:marBottom w:val="0"/>
      <w:divBdr>
        <w:top w:val="none" w:sz="0" w:space="0" w:color="auto"/>
        <w:left w:val="none" w:sz="0" w:space="0" w:color="auto"/>
        <w:bottom w:val="none" w:sz="0" w:space="0" w:color="auto"/>
        <w:right w:val="none" w:sz="0" w:space="0" w:color="auto"/>
      </w:divBdr>
    </w:div>
    <w:div w:id="387845737">
      <w:bodyDiv w:val="1"/>
      <w:marLeft w:val="0"/>
      <w:marRight w:val="0"/>
      <w:marTop w:val="0"/>
      <w:marBottom w:val="0"/>
      <w:divBdr>
        <w:top w:val="none" w:sz="0" w:space="0" w:color="auto"/>
        <w:left w:val="none" w:sz="0" w:space="0" w:color="auto"/>
        <w:bottom w:val="none" w:sz="0" w:space="0" w:color="auto"/>
        <w:right w:val="none" w:sz="0" w:space="0" w:color="auto"/>
      </w:divBdr>
    </w:div>
    <w:div w:id="391008778">
      <w:bodyDiv w:val="1"/>
      <w:marLeft w:val="0"/>
      <w:marRight w:val="0"/>
      <w:marTop w:val="0"/>
      <w:marBottom w:val="0"/>
      <w:divBdr>
        <w:top w:val="none" w:sz="0" w:space="0" w:color="auto"/>
        <w:left w:val="none" w:sz="0" w:space="0" w:color="auto"/>
        <w:bottom w:val="none" w:sz="0" w:space="0" w:color="auto"/>
        <w:right w:val="none" w:sz="0" w:space="0" w:color="auto"/>
      </w:divBdr>
    </w:div>
    <w:div w:id="391924242">
      <w:bodyDiv w:val="1"/>
      <w:marLeft w:val="0"/>
      <w:marRight w:val="0"/>
      <w:marTop w:val="0"/>
      <w:marBottom w:val="0"/>
      <w:divBdr>
        <w:top w:val="none" w:sz="0" w:space="0" w:color="auto"/>
        <w:left w:val="none" w:sz="0" w:space="0" w:color="auto"/>
        <w:bottom w:val="none" w:sz="0" w:space="0" w:color="auto"/>
        <w:right w:val="none" w:sz="0" w:space="0" w:color="auto"/>
      </w:divBdr>
    </w:div>
    <w:div w:id="392630221">
      <w:bodyDiv w:val="1"/>
      <w:marLeft w:val="0"/>
      <w:marRight w:val="0"/>
      <w:marTop w:val="0"/>
      <w:marBottom w:val="0"/>
      <w:divBdr>
        <w:top w:val="none" w:sz="0" w:space="0" w:color="auto"/>
        <w:left w:val="none" w:sz="0" w:space="0" w:color="auto"/>
        <w:bottom w:val="none" w:sz="0" w:space="0" w:color="auto"/>
        <w:right w:val="none" w:sz="0" w:space="0" w:color="auto"/>
      </w:divBdr>
    </w:div>
    <w:div w:id="393502904">
      <w:bodyDiv w:val="1"/>
      <w:marLeft w:val="0"/>
      <w:marRight w:val="0"/>
      <w:marTop w:val="0"/>
      <w:marBottom w:val="0"/>
      <w:divBdr>
        <w:top w:val="none" w:sz="0" w:space="0" w:color="auto"/>
        <w:left w:val="none" w:sz="0" w:space="0" w:color="auto"/>
        <w:bottom w:val="none" w:sz="0" w:space="0" w:color="auto"/>
        <w:right w:val="none" w:sz="0" w:space="0" w:color="auto"/>
      </w:divBdr>
    </w:div>
    <w:div w:id="395595540">
      <w:bodyDiv w:val="1"/>
      <w:marLeft w:val="0"/>
      <w:marRight w:val="0"/>
      <w:marTop w:val="0"/>
      <w:marBottom w:val="0"/>
      <w:divBdr>
        <w:top w:val="none" w:sz="0" w:space="0" w:color="auto"/>
        <w:left w:val="none" w:sz="0" w:space="0" w:color="auto"/>
        <w:bottom w:val="none" w:sz="0" w:space="0" w:color="auto"/>
        <w:right w:val="none" w:sz="0" w:space="0" w:color="auto"/>
      </w:divBdr>
    </w:div>
    <w:div w:id="395858758">
      <w:bodyDiv w:val="1"/>
      <w:marLeft w:val="0"/>
      <w:marRight w:val="0"/>
      <w:marTop w:val="0"/>
      <w:marBottom w:val="0"/>
      <w:divBdr>
        <w:top w:val="none" w:sz="0" w:space="0" w:color="auto"/>
        <w:left w:val="none" w:sz="0" w:space="0" w:color="auto"/>
        <w:bottom w:val="none" w:sz="0" w:space="0" w:color="auto"/>
        <w:right w:val="none" w:sz="0" w:space="0" w:color="auto"/>
      </w:divBdr>
    </w:div>
    <w:div w:id="396586910">
      <w:bodyDiv w:val="1"/>
      <w:marLeft w:val="0"/>
      <w:marRight w:val="0"/>
      <w:marTop w:val="0"/>
      <w:marBottom w:val="0"/>
      <w:divBdr>
        <w:top w:val="none" w:sz="0" w:space="0" w:color="auto"/>
        <w:left w:val="none" w:sz="0" w:space="0" w:color="auto"/>
        <w:bottom w:val="none" w:sz="0" w:space="0" w:color="auto"/>
        <w:right w:val="none" w:sz="0" w:space="0" w:color="auto"/>
      </w:divBdr>
    </w:div>
    <w:div w:id="398214379">
      <w:bodyDiv w:val="1"/>
      <w:marLeft w:val="0"/>
      <w:marRight w:val="0"/>
      <w:marTop w:val="0"/>
      <w:marBottom w:val="0"/>
      <w:divBdr>
        <w:top w:val="none" w:sz="0" w:space="0" w:color="auto"/>
        <w:left w:val="none" w:sz="0" w:space="0" w:color="auto"/>
        <w:bottom w:val="none" w:sz="0" w:space="0" w:color="auto"/>
        <w:right w:val="none" w:sz="0" w:space="0" w:color="auto"/>
      </w:divBdr>
    </w:div>
    <w:div w:id="409692235">
      <w:bodyDiv w:val="1"/>
      <w:marLeft w:val="0"/>
      <w:marRight w:val="0"/>
      <w:marTop w:val="0"/>
      <w:marBottom w:val="0"/>
      <w:divBdr>
        <w:top w:val="none" w:sz="0" w:space="0" w:color="auto"/>
        <w:left w:val="none" w:sz="0" w:space="0" w:color="auto"/>
        <w:bottom w:val="none" w:sz="0" w:space="0" w:color="auto"/>
        <w:right w:val="none" w:sz="0" w:space="0" w:color="auto"/>
      </w:divBdr>
    </w:div>
    <w:div w:id="418908401">
      <w:bodyDiv w:val="1"/>
      <w:marLeft w:val="0"/>
      <w:marRight w:val="0"/>
      <w:marTop w:val="0"/>
      <w:marBottom w:val="0"/>
      <w:divBdr>
        <w:top w:val="none" w:sz="0" w:space="0" w:color="auto"/>
        <w:left w:val="none" w:sz="0" w:space="0" w:color="auto"/>
        <w:bottom w:val="none" w:sz="0" w:space="0" w:color="auto"/>
        <w:right w:val="none" w:sz="0" w:space="0" w:color="auto"/>
      </w:divBdr>
    </w:div>
    <w:div w:id="419377443">
      <w:bodyDiv w:val="1"/>
      <w:marLeft w:val="0"/>
      <w:marRight w:val="0"/>
      <w:marTop w:val="0"/>
      <w:marBottom w:val="0"/>
      <w:divBdr>
        <w:top w:val="none" w:sz="0" w:space="0" w:color="auto"/>
        <w:left w:val="none" w:sz="0" w:space="0" w:color="auto"/>
        <w:bottom w:val="none" w:sz="0" w:space="0" w:color="auto"/>
        <w:right w:val="none" w:sz="0" w:space="0" w:color="auto"/>
      </w:divBdr>
    </w:div>
    <w:div w:id="420175514">
      <w:bodyDiv w:val="1"/>
      <w:marLeft w:val="0"/>
      <w:marRight w:val="0"/>
      <w:marTop w:val="0"/>
      <w:marBottom w:val="0"/>
      <w:divBdr>
        <w:top w:val="none" w:sz="0" w:space="0" w:color="auto"/>
        <w:left w:val="none" w:sz="0" w:space="0" w:color="auto"/>
        <w:bottom w:val="none" w:sz="0" w:space="0" w:color="auto"/>
        <w:right w:val="none" w:sz="0" w:space="0" w:color="auto"/>
      </w:divBdr>
    </w:div>
    <w:div w:id="420950466">
      <w:bodyDiv w:val="1"/>
      <w:marLeft w:val="0"/>
      <w:marRight w:val="0"/>
      <w:marTop w:val="0"/>
      <w:marBottom w:val="0"/>
      <w:divBdr>
        <w:top w:val="none" w:sz="0" w:space="0" w:color="auto"/>
        <w:left w:val="none" w:sz="0" w:space="0" w:color="auto"/>
        <w:bottom w:val="none" w:sz="0" w:space="0" w:color="auto"/>
        <w:right w:val="none" w:sz="0" w:space="0" w:color="auto"/>
      </w:divBdr>
    </w:div>
    <w:div w:id="422189622">
      <w:bodyDiv w:val="1"/>
      <w:marLeft w:val="0"/>
      <w:marRight w:val="0"/>
      <w:marTop w:val="0"/>
      <w:marBottom w:val="0"/>
      <w:divBdr>
        <w:top w:val="none" w:sz="0" w:space="0" w:color="auto"/>
        <w:left w:val="none" w:sz="0" w:space="0" w:color="auto"/>
        <w:bottom w:val="none" w:sz="0" w:space="0" w:color="auto"/>
        <w:right w:val="none" w:sz="0" w:space="0" w:color="auto"/>
      </w:divBdr>
    </w:div>
    <w:div w:id="424887581">
      <w:bodyDiv w:val="1"/>
      <w:marLeft w:val="0"/>
      <w:marRight w:val="0"/>
      <w:marTop w:val="0"/>
      <w:marBottom w:val="0"/>
      <w:divBdr>
        <w:top w:val="none" w:sz="0" w:space="0" w:color="auto"/>
        <w:left w:val="none" w:sz="0" w:space="0" w:color="auto"/>
        <w:bottom w:val="none" w:sz="0" w:space="0" w:color="auto"/>
        <w:right w:val="none" w:sz="0" w:space="0" w:color="auto"/>
      </w:divBdr>
    </w:div>
    <w:div w:id="428741783">
      <w:bodyDiv w:val="1"/>
      <w:marLeft w:val="0"/>
      <w:marRight w:val="0"/>
      <w:marTop w:val="0"/>
      <w:marBottom w:val="0"/>
      <w:divBdr>
        <w:top w:val="none" w:sz="0" w:space="0" w:color="auto"/>
        <w:left w:val="none" w:sz="0" w:space="0" w:color="auto"/>
        <w:bottom w:val="none" w:sz="0" w:space="0" w:color="auto"/>
        <w:right w:val="none" w:sz="0" w:space="0" w:color="auto"/>
      </w:divBdr>
    </w:div>
    <w:div w:id="430591312">
      <w:bodyDiv w:val="1"/>
      <w:marLeft w:val="0"/>
      <w:marRight w:val="0"/>
      <w:marTop w:val="0"/>
      <w:marBottom w:val="0"/>
      <w:divBdr>
        <w:top w:val="none" w:sz="0" w:space="0" w:color="auto"/>
        <w:left w:val="none" w:sz="0" w:space="0" w:color="auto"/>
        <w:bottom w:val="none" w:sz="0" w:space="0" w:color="auto"/>
        <w:right w:val="none" w:sz="0" w:space="0" w:color="auto"/>
      </w:divBdr>
    </w:div>
    <w:div w:id="438531922">
      <w:bodyDiv w:val="1"/>
      <w:marLeft w:val="0"/>
      <w:marRight w:val="0"/>
      <w:marTop w:val="0"/>
      <w:marBottom w:val="0"/>
      <w:divBdr>
        <w:top w:val="none" w:sz="0" w:space="0" w:color="auto"/>
        <w:left w:val="none" w:sz="0" w:space="0" w:color="auto"/>
        <w:bottom w:val="none" w:sz="0" w:space="0" w:color="auto"/>
        <w:right w:val="none" w:sz="0" w:space="0" w:color="auto"/>
      </w:divBdr>
    </w:div>
    <w:div w:id="445541747">
      <w:bodyDiv w:val="1"/>
      <w:marLeft w:val="0"/>
      <w:marRight w:val="0"/>
      <w:marTop w:val="0"/>
      <w:marBottom w:val="0"/>
      <w:divBdr>
        <w:top w:val="none" w:sz="0" w:space="0" w:color="auto"/>
        <w:left w:val="none" w:sz="0" w:space="0" w:color="auto"/>
        <w:bottom w:val="none" w:sz="0" w:space="0" w:color="auto"/>
        <w:right w:val="none" w:sz="0" w:space="0" w:color="auto"/>
      </w:divBdr>
    </w:div>
    <w:div w:id="447089558">
      <w:bodyDiv w:val="1"/>
      <w:marLeft w:val="0"/>
      <w:marRight w:val="0"/>
      <w:marTop w:val="0"/>
      <w:marBottom w:val="0"/>
      <w:divBdr>
        <w:top w:val="none" w:sz="0" w:space="0" w:color="auto"/>
        <w:left w:val="none" w:sz="0" w:space="0" w:color="auto"/>
        <w:bottom w:val="none" w:sz="0" w:space="0" w:color="auto"/>
        <w:right w:val="none" w:sz="0" w:space="0" w:color="auto"/>
      </w:divBdr>
    </w:div>
    <w:div w:id="450779789">
      <w:bodyDiv w:val="1"/>
      <w:marLeft w:val="0"/>
      <w:marRight w:val="0"/>
      <w:marTop w:val="0"/>
      <w:marBottom w:val="0"/>
      <w:divBdr>
        <w:top w:val="none" w:sz="0" w:space="0" w:color="auto"/>
        <w:left w:val="none" w:sz="0" w:space="0" w:color="auto"/>
        <w:bottom w:val="none" w:sz="0" w:space="0" w:color="auto"/>
        <w:right w:val="none" w:sz="0" w:space="0" w:color="auto"/>
      </w:divBdr>
    </w:div>
    <w:div w:id="456535952">
      <w:bodyDiv w:val="1"/>
      <w:marLeft w:val="0"/>
      <w:marRight w:val="0"/>
      <w:marTop w:val="0"/>
      <w:marBottom w:val="0"/>
      <w:divBdr>
        <w:top w:val="none" w:sz="0" w:space="0" w:color="auto"/>
        <w:left w:val="none" w:sz="0" w:space="0" w:color="auto"/>
        <w:bottom w:val="none" w:sz="0" w:space="0" w:color="auto"/>
        <w:right w:val="none" w:sz="0" w:space="0" w:color="auto"/>
      </w:divBdr>
    </w:div>
    <w:div w:id="469059452">
      <w:bodyDiv w:val="1"/>
      <w:marLeft w:val="0"/>
      <w:marRight w:val="0"/>
      <w:marTop w:val="0"/>
      <w:marBottom w:val="0"/>
      <w:divBdr>
        <w:top w:val="none" w:sz="0" w:space="0" w:color="auto"/>
        <w:left w:val="none" w:sz="0" w:space="0" w:color="auto"/>
        <w:bottom w:val="none" w:sz="0" w:space="0" w:color="auto"/>
        <w:right w:val="none" w:sz="0" w:space="0" w:color="auto"/>
      </w:divBdr>
    </w:div>
    <w:div w:id="470708070">
      <w:bodyDiv w:val="1"/>
      <w:marLeft w:val="0"/>
      <w:marRight w:val="0"/>
      <w:marTop w:val="0"/>
      <w:marBottom w:val="0"/>
      <w:divBdr>
        <w:top w:val="none" w:sz="0" w:space="0" w:color="auto"/>
        <w:left w:val="none" w:sz="0" w:space="0" w:color="auto"/>
        <w:bottom w:val="none" w:sz="0" w:space="0" w:color="auto"/>
        <w:right w:val="none" w:sz="0" w:space="0" w:color="auto"/>
      </w:divBdr>
    </w:div>
    <w:div w:id="472530047">
      <w:bodyDiv w:val="1"/>
      <w:marLeft w:val="0"/>
      <w:marRight w:val="0"/>
      <w:marTop w:val="0"/>
      <w:marBottom w:val="0"/>
      <w:divBdr>
        <w:top w:val="none" w:sz="0" w:space="0" w:color="auto"/>
        <w:left w:val="none" w:sz="0" w:space="0" w:color="auto"/>
        <w:bottom w:val="none" w:sz="0" w:space="0" w:color="auto"/>
        <w:right w:val="none" w:sz="0" w:space="0" w:color="auto"/>
      </w:divBdr>
    </w:div>
    <w:div w:id="472604652">
      <w:bodyDiv w:val="1"/>
      <w:marLeft w:val="0"/>
      <w:marRight w:val="0"/>
      <w:marTop w:val="0"/>
      <w:marBottom w:val="0"/>
      <w:divBdr>
        <w:top w:val="none" w:sz="0" w:space="0" w:color="auto"/>
        <w:left w:val="none" w:sz="0" w:space="0" w:color="auto"/>
        <w:bottom w:val="none" w:sz="0" w:space="0" w:color="auto"/>
        <w:right w:val="none" w:sz="0" w:space="0" w:color="auto"/>
      </w:divBdr>
    </w:div>
    <w:div w:id="479343581">
      <w:bodyDiv w:val="1"/>
      <w:marLeft w:val="0"/>
      <w:marRight w:val="0"/>
      <w:marTop w:val="0"/>
      <w:marBottom w:val="0"/>
      <w:divBdr>
        <w:top w:val="none" w:sz="0" w:space="0" w:color="auto"/>
        <w:left w:val="none" w:sz="0" w:space="0" w:color="auto"/>
        <w:bottom w:val="none" w:sz="0" w:space="0" w:color="auto"/>
        <w:right w:val="none" w:sz="0" w:space="0" w:color="auto"/>
      </w:divBdr>
    </w:div>
    <w:div w:id="482702081">
      <w:bodyDiv w:val="1"/>
      <w:marLeft w:val="0"/>
      <w:marRight w:val="0"/>
      <w:marTop w:val="0"/>
      <w:marBottom w:val="0"/>
      <w:divBdr>
        <w:top w:val="none" w:sz="0" w:space="0" w:color="auto"/>
        <w:left w:val="none" w:sz="0" w:space="0" w:color="auto"/>
        <w:bottom w:val="none" w:sz="0" w:space="0" w:color="auto"/>
        <w:right w:val="none" w:sz="0" w:space="0" w:color="auto"/>
      </w:divBdr>
      <w:divsChild>
        <w:div w:id="2059550855">
          <w:marLeft w:val="0"/>
          <w:marRight w:val="0"/>
          <w:marTop w:val="0"/>
          <w:marBottom w:val="0"/>
          <w:divBdr>
            <w:top w:val="none" w:sz="0" w:space="0" w:color="auto"/>
            <w:left w:val="none" w:sz="0" w:space="0" w:color="auto"/>
            <w:bottom w:val="none" w:sz="0" w:space="0" w:color="auto"/>
            <w:right w:val="none" w:sz="0" w:space="0" w:color="auto"/>
          </w:divBdr>
        </w:div>
      </w:divsChild>
    </w:div>
    <w:div w:id="490216005">
      <w:bodyDiv w:val="1"/>
      <w:marLeft w:val="0"/>
      <w:marRight w:val="0"/>
      <w:marTop w:val="0"/>
      <w:marBottom w:val="0"/>
      <w:divBdr>
        <w:top w:val="none" w:sz="0" w:space="0" w:color="auto"/>
        <w:left w:val="none" w:sz="0" w:space="0" w:color="auto"/>
        <w:bottom w:val="none" w:sz="0" w:space="0" w:color="auto"/>
        <w:right w:val="none" w:sz="0" w:space="0" w:color="auto"/>
      </w:divBdr>
    </w:div>
    <w:div w:id="500852032">
      <w:bodyDiv w:val="1"/>
      <w:marLeft w:val="0"/>
      <w:marRight w:val="0"/>
      <w:marTop w:val="0"/>
      <w:marBottom w:val="0"/>
      <w:divBdr>
        <w:top w:val="none" w:sz="0" w:space="0" w:color="auto"/>
        <w:left w:val="none" w:sz="0" w:space="0" w:color="auto"/>
        <w:bottom w:val="none" w:sz="0" w:space="0" w:color="auto"/>
        <w:right w:val="none" w:sz="0" w:space="0" w:color="auto"/>
      </w:divBdr>
    </w:div>
    <w:div w:id="509956083">
      <w:bodyDiv w:val="1"/>
      <w:marLeft w:val="0"/>
      <w:marRight w:val="0"/>
      <w:marTop w:val="0"/>
      <w:marBottom w:val="0"/>
      <w:divBdr>
        <w:top w:val="none" w:sz="0" w:space="0" w:color="auto"/>
        <w:left w:val="none" w:sz="0" w:space="0" w:color="auto"/>
        <w:bottom w:val="none" w:sz="0" w:space="0" w:color="auto"/>
        <w:right w:val="none" w:sz="0" w:space="0" w:color="auto"/>
      </w:divBdr>
    </w:div>
    <w:div w:id="510146623">
      <w:bodyDiv w:val="1"/>
      <w:marLeft w:val="0"/>
      <w:marRight w:val="0"/>
      <w:marTop w:val="0"/>
      <w:marBottom w:val="0"/>
      <w:divBdr>
        <w:top w:val="none" w:sz="0" w:space="0" w:color="auto"/>
        <w:left w:val="none" w:sz="0" w:space="0" w:color="auto"/>
        <w:bottom w:val="none" w:sz="0" w:space="0" w:color="auto"/>
        <w:right w:val="none" w:sz="0" w:space="0" w:color="auto"/>
      </w:divBdr>
    </w:div>
    <w:div w:id="524293020">
      <w:bodyDiv w:val="1"/>
      <w:marLeft w:val="0"/>
      <w:marRight w:val="0"/>
      <w:marTop w:val="0"/>
      <w:marBottom w:val="0"/>
      <w:divBdr>
        <w:top w:val="none" w:sz="0" w:space="0" w:color="auto"/>
        <w:left w:val="none" w:sz="0" w:space="0" w:color="auto"/>
        <w:bottom w:val="none" w:sz="0" w:space="0" w:color="auto"/>
        <w:right w:val="none" w:sz="0" w:space="0" w:color="auto"/>
      </w:divBdr>
    </w:div>
    <w:div w:id="531964322">
      <w:bodyDiv w:val="1"/>
      <w:marLeft w:val="0"/>
      <w:marRight w:val="0"/>
      <w:marTop w:val="0"/>
      <w:marBottom w:val="0"/>
      <w:divBdr>
        <w:top w:val="none" w:sz="0" w:space="0" w:color="auto"/>
        <w:left w:val="none" w:sz="0" w:space="0" w:color="auto"/>
        <w:bottom w:val="none" w:sz="0" w:space="0" w:color="auto"/>
        <w:right w:val="none" w:sz="0" w:space="0" w:color="auto"/>
      </w:divBdr>
    </w:div>
    <w:div w:id="536550701">
      <w:bodyDiv w:val="1"/>
      <w:marLeft w:val="0"/>
      <w:marRight w:val="0"/>
      <w:marTop w:val="0"/>
      <w:marBottom w:val="0"/>
      <w:divBdr>
        <w:top w:val="none" w:sz="0" w:space="0" w:color="auto"/>
        <w:left w:val="none" w:sz="0" w:space="0" w:color="auto"/>
        <w:bottom w:val="none" w:sz="0" w:space="0" w:color="auto"/>
        <w:right w:val="none" w:sz="0" w:space="0" w:color="auto"/>
      </w:divBdr>
    </w:div>
    <w:div w:id="541092671">
      <w:bodyDiv w:val="1"/>
      <w:marLeft w:val="0"/>
      <w:marRight w:val="0"/>
      <w:marTop w:val="0"/>
      <w:marBottom w:val="0"/>
      <w:divBdr>
        <w:top w:val="none" w:sz="0" w:space="0" w:color="auto"/>
        <w:left w:val="none" w:sz="0" w:space="0" w:color="auto"/>
        <w:bottom w:val="none" w:sz="0" w:space="0" w:color="auto"/>
        <w:right w:val="none" w:sz="0" w:space="0" w:color="auto"/>
      </w:divBdr>
    </w:div>
    <w:div w:id="550072875">
      <w:bodyDiv w:val="1"/>
      <w:marLeft w:val="0"/>
      <w:marRight w:val="0"/>
      <w:marTop w:val="0"/>
      <w:marBottom w:val="0"/>
      <w:divBdr>
        <w:top w:val="none" w:sz="0" w:space="0" w:color="auto"/>
        <w:left w:val="none" w:sz="0" w:space="0" w:color="auto"/>
        <w:bottom w:val="none" w:sz="0" w:space="0" w:color="auto"/>
        <w:right w:val="none" w:sz="0" w:space="0" w:color="auto"/>
      </w:divBdr>
    </w:div>
    <w:div w:id="552271971">
      <w:bodyDiv w:val="1"/>
      <w:marLeft w:val="0"/>
      <w:marRight w:val="0"/>
      <w:marTop w:val="0"/>
      <w:marBottom w:val="0"/>
      <w:divBdr>
        <w:top w:val="none" w:sz="0" w:space="0" w:color="auto"/>
        <w:left w:val="none" w:sz="0" w:space="0" w:color="auto"/>
        <w:bottom w:val="none" w:sz="0" w:space="0" w:color="auto"/>
        <w:right w:val="none" w:sz="0" w:space="0" w:color="auto"/>
      </w:divBdr>
    </w:div>
    <w:div w:id="560561478">
      <w:bodyDiv w:val="1"/>
      <w:marLeft w:val="0"/>
      <w:marRight w:val="0"/>
      <w:marTop w:val="0"/>
      <w:marBottom w:val="0"/>
      <w:divBdr>
        <w:top w:val="none" w:sz="0" w:space="0" w:color="auto"/>
        <w:left w:val="none" w:sz="0" w:space="0" w:color="auto"/>
        <w:bottom w:val="none" w:sz="0" w:space="0" w:color="auto"/>
        <w:right w:val="none" w:sz="0" w:space="0" w:color="auto"/>
      </w:divBdr>
    </w:div>
    <w:div w:id="569652605">
      <w:bodyDiv w:val="1"/>
      <w:marLeft w:val="0"/>
      <w:marRight w:val="0"/>
      <w:marTop w:val="0"/>
      <w:marBottom w:val="0"/>
      <w:divBdr>
        <w:top w:val="none" w:sz="0" w:space="0" w:color="auto"/>
        <w:left w:val="none" w:sz="0" w:space="0" w:color="auto"/>
        <w:bottom w:val="none" w:sz="0" w:space="0" w:color="auto"/>
        <w:right w:val="none" w:sz="0" w:space="0" w:color="auto"/>
      </w:divBdr>
    </w:div>
    <w:div w:id="574516655">
      <w:bodyDiv w:val="1"/>
      <w:marLeft w:val="0"/>
      <w:marRight w:val="0"/>
      <w:marTop w:val="0"/>
      <w:marBottom w:val="0"/>
      <w:divBdr>
        <w:top w:val="none" w:sz="0" w:space="0" w:color="auto"/>
        <w:left w:val="none" w:sz="0" w:space="0" w:color="auto"/>
        <w:bottom w:val="none" w:sz="0" w:space="0" w:color="auto"/>
        <w:right w:val="none" w:sz="0" w:space="0" w:color="auto"/>
      </w:divBdr>
    </w:div>
    <w:div w:id="576482858">
      <w:bodyDiv w:val="1"/>
      <w:marLeft w:val="0"/>
      <w:marRight w:val="0"/>
      <w:marTop w:val="0"/>
      <w:marBottom w:val="0"/>
      <w:divBdr>
        <w:top w:val="none" w:sz="0" w:space="0" w:color="auto"/>
        <w:left w:val="none" w:sz="0" w:space="0" w:color="auto"/>
        <w:bottom w:val="none" w:sz="0" w:space="0" w:color="auto"/>
        <w:right w:val="none" w:sz="0" w:space="0" w:color="auto"/>
      </w:divBdr>
    </w:div>
    <w:div w:id="579218238">
      <w:bodyDiv w:val="1"/>
      <w:marLeft w:val="0"/>
      <w:marRight w:val="0"/>
      <w:marTop w:val="0"/>
      <w:marBottom w:val="0"/>
      <w:divBdr>
        <w:top w:val="none" w:sz="0" w:space="0" w:color="auto"/>
        <w:left w:val="none" w:sz="0" w:space="0" w:color="auto"/>
        <w:bottom w:val="none" w:sz="0" w:space="0" w:color="auto"/>
        <w:right w:val="none" w:sz="0" w:space="0" w:color="auto"/>
      </w:divBdr>
    </w:div>
    <w:div w:id="579412047">
      <w:bodyDiv w:val="1"/>
      <w:marLeft w:val="0"/>
      <w:marRight w:val="0"/>
      <w:marTop w:val="0"/>
      <w:marBottom w:val="0"/>
      <w:divBdr>
        <w:top w:val="none" w:sz="0" w:space="0" w:color="auto"/>
        <w:left w:val="none" w:sz="0" w:space="0" w:color="auto"/>
        <w:bottom w:val="none" w:sz="0" w:space="0" w:color="auto"/>
        <w:right w:val="none" w:sz="0" w:space="0" w:color="auto"/>
      </w:divBdr>
    </w:div>
    <w:div w:id="581912593">
      <w:bodyDiv w:val="1"/>
      <w:marLeft w:val="0"/>
      <w:marRight w:val="0"/>
      <w:marTop w:val="0"/>
      <w:marBottom w:val="0"/>
      <w:divBdr>
        <w:top w:val="none" w:sz="0" w:space="0" w:color="auto"/>
        <w:left w:val="none" w:sz="0" w:space="0" w:color="auto"/>
        <w:bottom w:val="none" w:sz="0" w:space="0" w:color="auto"/>
        <w:right w:val="none" w:sz="0" w:space="0" w:color="auto"/>
      </w:divBdr>
    </w:div>
    <w:div w:id="582955880">
      <w:bodyDiv w:val="1"/>
      <w:marLeft w:val="0"/>
      <w:marRight w:val="0"/>
      <w:marTop w:val="0"/>
      <w:marBottom w:val="0"/>
      <w:divBdr>
        <w:top w:val="none" w:sz="0" w:space="0" w:color="auto"/>
        <w:left w:val="none" w:sz="0" w:space="0" w:color="auto"/>
        <w:bottom w:val="none" w:sz="0" w:space="0" w:color="auto"/>
        <w:right w:val="none" w:sz="0" w:space="0" w:color="auto"/>
      </w:divBdr>
    </w:div>
    <w:div w:id="589241558">
      <w:bodyDiv w:val="1"/>
      <w:marLeft w:val="0"/>
      <w:marRight w:val="0"/>
      <w:marTop w:val="0"/>
      <w:marBottom w:val="0"/>
      <w:divBdr>
        <w:top w:val="none" w:sz="0" w:space="0" w:color="auto"/>
        <w:left w:val="none" w:sz="0" w:space="0" w:color="auto"/>
        <w:bottom w:val="none" w:sz="0" w:space="0" w:color="auto"/>
        <w:right w:val="none" w:sz="0" w:space="0" w:color="auto"/>
      </w:divBdr>
    </w:div>
    <w:div w:id="593324950">
      <w:bodyDiv w:val="1"/>
      <w:marLeft w:val="0"/>
      <w:marRight w:val="0"/>
      <w:marTop w:val="0"/>
      <w:marBottom w:val="0"/>
      <w:divBdr>
        <w:top w:val="none" w:sz="0" w:space="0" w:color="auto"/>
        <w:left w:val="none" w:sz="0" w:space="0" w:color="auto"/>
        <w:bottom w:val="none" w:sz="0" w:space="0" w:color="auto"/>
        <w:right w:val="none" w:sz="0" w:space="0" w:color="auto"/>
      </w:divBdr>
    </w:div>
    <w:div w:id="596132229">
      <w:bodyDiv w:val="1"/>
      <w:marLeft w:val="0"/>
      <w:marRight w:val="0"/>
      <w:marTop w:val="0"/>
      <w:marBottom w:val="0"/>
      <w:divBdr>
        <w:top w:val="none" w:sz="0" w:space="0" w:color="auto"/>
        <w:left w:val="none" w:sz="0" w:space="0" w:color="auto"/>
        <w:bottom w:val="none" w:sz="0" w:space="0" w:color="auto"/>
        <w:right w:val="none" w:sz="0" w:space="0" w:color="auto"/>
      </w:divBdr>
    </w:div>
    <w:div w:id="610553581">
      <w:bodyDiv w:val="1"/>
      <w:marLeft w:val="0"/>
      <w:marRight w:val="0"/>
      <w:marTop w:val="0"/>
      <w:marBottom w:val="0"/>
      <w:divBdr>
        <w:top w:val="none" w:sz="0" w:space="0" w:color="auto"/>
        <w:left w:val="none" w:sz="0" w:space="0" w:color="auto"/>
        <w:bottom w:val="none" w:sz="0" w:space="0" w:color="auto"/>
        <w:right w:val="none" w:sz="0" w:space="0" w:color="auto"/>
      </w:divBdr>
    </w:div>
    <w:div w:id="611278062">
      <w:bodyDiv w:val="1"/>
      <w:marLeft w:val="0"/>
      <w:marRight w:val="0"/>
      <w:marTop w:val="0"/>
      <w:marBottom w:val="0"/>
      <w:divBdr>
        <w:top w:val="none" w:sz="0" w:space="0" w:color="auto"/>
        <w:left w:val="none" w:sz="0" w:space="0" w:color="auto"/>
        <w:bottom w:val="none" w:sz="0" w:space="0" w:color="auto"/>
        <w:right w:val="none" w:sz="0" w:space="0" w:color="auto"/>
      </w:divBdr>
    </w:div>
    <w:div w:id="627006679">
      <w:bodyDiv w:val="1"/>
      <w:marLeft w:val="0"/>
      <w:marRight w:val="0"/>
      <w:marTop w:val="0"/>
      <w:marBottom w:val="0"/>
      <w:divBdr>
        <w:top w:val="none" w:sz="0" w:space="0" w:color="auto"/>
        <w:left w:val="none" w:sz="0" w:space="0" w:color="auto"/>
        <w:bottom w:val="none" w:sz="0" w:space="0" w:color="auto"/>
        <w:right w:val="none" w:sz="0" w:space="0" w:color="auto"/>
      </w:divBdr>
    </w:div>
    <w:div w:id="627854117">
      <w:bodyDiv w:val="1"/>
      <w:marLeft w:val="0"/>
      <w:marRight w:val="0"/>
      <w:marTop w:val="0"/>
      <w:marBottom w:val="0"/>
      <w:divBdr>
        <w:top w:val="none" w:sz="0" w:space="0" w:color="auto"/>
        <w:left w:val="none" w:sz="0" w:space="0" w:color="auto"/>
        <w:bottom w:val="none" w:sz="0" w:space="0" w:color="auto"/>
        <w:right w:val="none" w:sz="0" w:space="0" w:color="auto"/>
      </w:divBdr>
    </w:div>
    <w:div w:id="628441970">
      <w:bodyDiv w:val="1"/>
      <w:marLeft w:val="0"/>
      <w:marRight w:val="0"/>
      <w:marTop w:val="0"/>
      <w:marBottom w:val="0"/>
      <w:divBdr>
        <w:top w:val="none" w:sz="0" w:space="0" w:color="auto"/>
        <w:left w:val="none" w:sz="0" w:space="0" w:color="auto"/>
        <w:bottom w:val="none" w:sz="0" w:space="0" w:color="auto"/>
        <w:right w:val="none" w:sz="0" w:space="0" w:color="auto"/>
      </w:divBdr>
    </w:div>
    <w:div w:id="628901861">
      <w:bodyDiv w:val="1"/>
      <w:marLeft w:val="0"/>
      <w:marRight w:val="0"/>
      <w:marTop w:val="0"/>
      <w:marBottom w:val="0"/>
      <w:divBdr>
        <w:top w:val="none" w:sz="0" w:space="0" w:color="auto"/>
        <w:left w:val="none" w:sz="0" w:space="0" w:color="auto"/>
        <w:bottom w:val="none" w:sz="0" w:space="0" w:color="auto"/>
        <w:right w:val="none" w:sz="0" w:space="0" w:color="auto"/>
      </w:divBdr>
    </w:div>
    <w:div w:id="633171948">
      <w:bodyDiv w:val="1"/>
      <w:marLeft w:val="0"/>
      <w:marRight w:val="0"/>
      <w:marTop w:val="0"/>
      <w:marBottom w:val="0"/>
      <w:divBdr>
        <w:top w:val="none" w:sz="0" w:space="0" w:color="auto"/>
        <w:left w:val="none" w:sz="0" w:space="0" w:color="auto"/>
        <w:bottom w:val="none" w:sz="0" w:space="0" w:color="auto"/>
        <w:right w:val="none" w:sz="0" w:space="0" w:color="auto"/>
      </w:divBdr>
    </w:div>
    <w:div w:id="637301678">
      <w:bodyDiv w:val="1"/>
      <w:marLeft w:val="0"/>
      <w:marRight w:val="0"/>
      <w:marTop w:val="0"/>
      <w:marBottom w:val="0"/>
      <w:divBdr>
        <w:top w:val="none" w:sz="0" w:space="0" w:color="auto"/>
        <w:left w:val="none" w:sz="0" w:space="0" w:color="auto"/>
        <w:bottom w:val="none" w:sz="0" w:space="0" w:color="auto"/>
        <w:right w:val="none" w:sz="0" w:space="0" w:color="auto"/>
      </w:divBdr>
    </w:div>
    <w:div w:id="645167455">
      <w:bodyDiv w:val="1"/>
      <w:marLeft w:val="0"/>
      <w:marRight w:val="0"/>
      <w:marTop w:val="0"/>
      <w:marBottom w:val="0"/>
      <w:divBdr>
        <w:top w:val="none" w:sz="0" w:space="0" w:color="auto"/>
        <w:left w:val="none" w:sz="0" w:space="0" w:color="auto"/>
        <w:bottom w:val="none" w:sz="0" w:space="0" w:color="auto"/>
        <w:right w:val="none" w:sz="0" w:space="0" w:color="auto"/>
      </w:divBdr>
    </w:div>
    <w:div w:id="649943110">
      <w:bodyDiv w:val="1"/>
      <w:marLeft w:val="0"/>
      <w:marRight w:val="0"/>
      <w:marTop w:val="0"/>
      <w:marBottom w:val="0"/>
      <w:divBdr>
        <w:top w:val="none" w:sz="0" w:space="0" w:color="auto"/>
        <w:left w:val="none" w:sz="0" w:space="0" w:color="auto"/>
        <w:bottom w:val="none" w:sz="0" w:space="0" w:color="auto"/>
        <w:right w:val="none" w:sz="0" w:space="0" w:color="auto"/>
      </w:divBdr>
    </w:div>
    <w:div w:id="650405460">
      <w:bodyDiv w:val="1"/>
      <w:marLeft w:val="0"/>
      <w:marRight w:val="0"/>
      <w:marTop w:val="0"/>
      <w:marBottom w:val="0"/>
      <w:divBdr>
        <w:top w:val="none" w:sz="0" w:space="0" w:color="auto"/>
        <w:left w:val="none" w:sz="0" w:space="0" w:color="auto"/>
        <w:bottom w:val="none" w:sz="0" w:space="0" w:color="auto"/>
        <w:right w:val="none" w:sz="0" w:space="0" w:color="auto"/>
      </w:divBdr>
    </w:div>
    <w:div w:id="654072712">
      <w:bodyDiv w:val="1"/>
      <w:marLeft w:val="0"/>
      <w:marRight w:val="0"/>
      <w:marTop w:val="0"/>
      <w:marBottom w:val="0"/>
      <w:divBdr>
        <w:top w:val="none" w:sz="0" w:space="0" w:color="auto"/>
        <w:left w:val="none" w:sz="0" w:space="0" w:color="auto"/>
        <w:bottom w:val="none" w:sz="0" w:space="0" w:color="auto"/>
        <w:right w:val="none" w:sz="0" w:space="0" w:color="auto"/>
      </w:divBdr>
    </w:div>
    <w:div w:id="655374728">
      <w:bodyDiv w:val="1"/>
      <w:marLeft w:val="0"/>
      <w:marRight w:val="0"/>
      <w:marTop w:val="0"/>
      <w:marBottom w:val="0"/>
      <w:divBdr>
        <w:top w:val="none" w:sz="0" w:space="0" w:color="auto"/>
        <w:left w:val="none" w:sz="0" w:space="0" w:color="auto"/>
        <w:bottom w:val="none" w:sz="0" w:space="0" w:color="auto"/>
        <w:right w:val="none" w:sz="0" w:space="0" w:color="auto"/>
      </w:divBdr>
    </w:div>
    <w:div w:id="657929382">
      <w:bodyDiv w:val="1"/>
      <w:marLeft w:val="0"/>
      <w:marRight w:val="0"/>
      <w:marTop w:val="0"/>
      <w:marBottom w:val="0"/>
      <w:divBdr>
        <w:top w:val="none" w:sz="0" w:space="0" w:color="auto"/>
        <w:left w:val="none" w:sz="0" w:space="0" w:color="auto"/>
        <w:bottom w:val="none" w:sz="0" w:space="0" w:color="auto"/>
        <w:right w:val="none" w:sz="0" w:space="0" w:color="auto"/>
      </w:divBdr>
    </w:div>
    <w:div w:id="660502069">
      <w:bodyDiv w:val="1"/>
      <w:marLeft w:val="0"/>
      <w:marRight w:val="0"/>
      <w:marTop w:val="0"/>
      <w:marBottom w:val="0"/>
      <w:divBdr>
        <w:top w:val="none" w:sz="0" w:space="0" w:color="auto"/>
        <w:left w:val="none" w:sz="0" w:space="0" w:color="auto"/>
        <w:bottom w:val="none" w:sz="0" w:space="0" w:color="auto"/>
        <w:right w:val="none" w:sz="0" w:space="0" w:color="auto"/>
      </w:divBdr>
    </w:div>
    <w:div w:id="662590286">
      <w:bodyDiv w:val="1"/>
      <w:marLeft w:val="0"/>
      <w:marRight w:val="0"/>
      <w:marTop w:val="0"/>
      <w:marBottom w:val="0"/>
      <w:divBdr>
        <w:top w:val="none" w:sz="0" w:space="0" w:color="auto"/>
        <w:left w:val="none" w:sz="0" w:space="0" w:color="auto"/>
        <w:bottom w:val="none" w:sz="0" w:space="0" w:color="auto"/>
        <w:right w:val="none" w:sz="0" w:space="0" w:color="auto"/>
      </w:divBdr>
    </w:div>
    <w:div w:id="663781150">
      <w:bodyDiv w:val="1"/>
      <w:marLeft w:val="0"/>
      <w:marRight w:val="0"/>
      <w:marTop w:val="0"/>
      <w:marBottom w:val="0"/>
      <w:divBdr>
        <w:top w:val="none" w:sz="0" w:space="0" w:color="auto"/>
        <w:left w:val="none" w:sz="0" w:space="0" w:color="auto"/>
        <w:bottom w:val="none" w:sz="0" w:space="0" w:color="auto"/>
        <w:right w:val="none" w:sz="0" w:space="0" w:color="auto"/>
      </w:divBdr>
    </w:div>
    <w:div w:id="675033333">
      <w:bodyDiv w:val="1"/>
      <w:marLeft w:val="0"/>
      <w:marRight w:val="0"/>
      <w:marTop w:val="0"/>
      <w:marBottom w:val="0"/>
      <w:divBdr>
        <w:top w:val="none" w:sz="0" w:space="0" w:color="auto"/>
        <w:left w:val="none" w:sz="0" w:space="0" w:color="auto"/>
        <w:bottom w:val="none" w:sz="0" w:space="0" w:color="auto"/>
        <w:right w:val="none" w:sz="0" w:space="0" w:color="auto"/>
      </w:divBdr>
    </w:div>
    <w:div w:id="678002121">
      <w:bodyDiv w:val="1"/>
      <w:marLeft w:val="0"/>
      <w:marRight w:val="0"/>
      <w:marTop w:val="0"/>
      <w:marBottom w:val="0"/>
      <w:divBdr>
        <w:top w:val="none" w:sz="0" w:space="0" w:color="auto"/>
        <w:left w:val="none" w:sz="0" w:space="0" w:color="auto"/>
        <w:bottom w:val="none" w:sz="0" w:space="0" w:color="auto"/>
        <w:right w:val="none" w:sz="0" w:space="0" w:color="auto"/>
      </w:divBdr>
    </w:div>
    <w:div w:id="680014469">
      <w:bodyDiv w:val="1"/>
      <w:marLeft w:val="0"/>
      <w:marRight w:val="0"/>
      <w:marTop w:val="0"/>
      <w:marBottom w:val="0"/>
      <w:divBdr>
        <w:top w:val="none" w:sz="0" w:space="0" w:color="auto"/>
        <w:left w:val="none" w:sz="0" w:space="0" w:color="auto"/>
        <w:bottom w:val="none" w:sz="0" w:space="0" w:color="auto"/>
        <w:right w:val="none" w:sz="0" w:space="0" w:color="auto"/>
      </w:divBdr>
    </w:div>
    <w:div w:id="688413145">
      <w:bodyDiv w:val="1"/>
      <w:marLeft w:val="0"/>
      <w:marRight w:val="0"/>
      <w:marTop w:val="0"/>
      <w:marBottom w:val="0"/>
      <w:divBdr>
        <w:top w:val="none" w:sz="0" w:space="0" w:color="auto"/>
        <w:left w:val="none" w:sz="0" w:space="0" w:color="auto"/>
        <w:bottom w:val="none" w:sz="0" w:space="0" w:color="auto"/>
        <w:right w:val="none" w:sz="0" w:space="0" w:color="auto"/>
      </w:divBdr>
    </w:div>
    <w:div w:id="695041776">
      <w:bodyDiv w:val="1"/>
      <w:marLeft w:val="0"/>
      <w:marRight w:val="0"/>
      <w:marTop w:val="0"/>
      <w:marBottom w:val="0"/>
      <w:divBdr>
        <w:top w:val="none" w:sz="0" w:space="0" w:color="auto"/>
        <w:left w:val="none" w:sz="0" w:space="0" w:color="auto"/>
        <w:bottom w:val="none" w:sz="0" w:space="0" w:color="auto"/>
        <w:right w:val="none" w:sz="0" w:space="0" w:color="auto"/>
      </w:divBdr>
    </w:div>
    <w:div w:id="698971853">
      <w:bodyDiv w:val="1"/>
      <w:marLeft w:val="0"/>
      <w:marRight w:val="0"/>
      <w:marTop w:val="0"/>
      <w:marBottom w:val="0"/>
      <w:divBdr>
        <w:top w:val="none" w:sz="0" w:space="0" w:color="auto"/>
        <w:left w:val="none" w:sz="0" w:space="0" w:color="auto"/>
        <w:bottom w:val="none" w:sz="0" w:space="0" w:color="auto"/>
        <w:right w:val="none" w:sz="0" w:space="0" w:color="auto"/>
      </w:divBdr>
    </w:div>
    <w:div w:id="718864962">
      <w:bodyDiv w:val="1"/>
      <w:marLeft w:val="0"/>
      <w:marRight w:val="0"/>
      <w:marTop w:val="0"/>
      <w:marBottom w:val="0"/>
      <w:divBdr>
        <w:top w:val="none" w:sz="0" w:space="0" w:color="auto"/>
        <w:left w:val="none" w:sz="0" w:space="0" w:color="auto"/>
        <w:bottom w:val="none" w:sz="0" w:space="0" w:color="auto"/>
        <w:right w:val="none" w:sz="0" w:space="0" w:color="auto"/>
      </w:divBdr>
    </w:div>
    <w:div w:id="722758029">
      <w:bodyDiv w:val="1"/>
      <w:marLeft w:val="0"/>
      <w:marRight w:val="0"/>
      <w:marTop w:val="0"/>
      <w:marBottom w:val="0"/>
      <w:divBdr>
        <w:top w:val="none" w:sz="0" w:space="0" w:color="auto"/>
        <w:left w:val="none" w:sz="0" w:space="0" w:color="auto"/>
        <w:bottom w:val="none" w:sz="0" w:space="0" w:color="auto"/>
        <w:right w:val="none" w:sz="0" w:space="0" w:color="auto"/>
      </w:divBdr>
    </w:div>
    <w:div w:id="725572095">
      <w:bodyDiv w:val="1"/>
      <w:marLeft w:val="0"/>
      <w:marRight w:val="0"/>
      <w:marTop w:val="0"/>
      <w:marBottom w:val="0"/>
      <w:divBdr>
        <w:top w:val="none" w:sz="0" w:space="0" w:color="auto"/>
        <w:left w:val="none" w:sz="0" w:space="0" w:color="auto"/>
        <w:bottom w:val="none" w:sz="0" w:space="0" w:color="auto"/>
        <w:right w:val="none" w:sz="0" w:space="0" w:color="auto"/>
      </w:divBdr>
    </w:div>
    <w:div w:id="734593094">
      <w:bodyDiv w:val="1"/>
      <w:marLeft w:val="0"/>
      <w:marRight w:val="0"/>
      <w:marTop w:val="0"/>
      <w:marBottom w:val="0"/>
      <w:divBdr>
        <w:top w:val="none" w:sz="0" w:space="0" w:color="auto"/>
        <w:left w:val="none" w:sz="0" w:space="0" w:color="auto"/>
        <w:bottom w:val="none" w:sz="0" w:space="0" w:color="auto"/>
        <w:right w:val="none" w:sz="0" w:space="0" w:color="auto"/>
      </w:divBdr>
    </w:div>
    <w:div w:id="734665750">
      <w:bodyDiv w:val="1"/>
      <w:marLeft w:val="0"/>
      <w:marRight w:val="0"/>
      <w:marTop w:val="0"/>
      <w:marBottom w:val="0"/>
      <w:divBdr>
        <w:top w:val="none" w:sz="0" w:space="0" w:color="auto"/>
        <w:left w:val="none" w:sz="0" w:space="0" w:color="auto"/>
        <w:bottom w:val="none" w:sz="0" w:space="0" w:color="auto"/>
        <w:right w:val="none" w:sz="0" w:space="0" w:color="auto"/>
      </w:divBdr>
    </w:div>
    <w:div w:id="737478434">
      <w:bodyDiv w:val="1"/>
      <w:marLeft w:val="0"/>
      <w:marRight w:val="0"/>
      <w:marTop w:val="0"/>
      <w:marBottom w:val="0"/>
      <w:divBdr>
        <w:top w:val="none" w:sz="0" w:space="0" w:color="auto"/>
        <w:left w:val="none" w:sz="0" w:space="0" w:color="auto"/>
        <w:bottom w:val="none" w:sz="0" w:space="0" w:color="auto"/>
        <w:right w:val="none" w:sz="0" w:space="0" w:color="auto"/>
      </w:divBdr>
    </w:div>
    <w:div w:id="742027806">
      <w:bodyDiv w:val="1"/>
      <w:marLeft w:val="0"/>
      <w:marRight w:val="0"/>
      <w:marTop w:val="0"/>
      <w:marBottom w:val="0"/>
      <w:divBdr>
        <w:top w:val="none" w:sz="0" w:space="0" w:color="auto"/>
        <w:left w:val="none" w:sz="0" w:space="0" w:color="auto"/>
        <w:bottom w:val="none" w:sz="0" w:space="0" w:color="auto"/>
        <w:right w:val="none" w:sz="0" w:space="0" w:color="auto"/>
      </w:divBdr>
    </w:div>
    <w:div w:id="742141373">
      <w:bodyDiv w:val="1"/>
      <w:marLeft w:val="0"/>
      <w:marRight w:val="0"/>
      <w:marTop w:val="0"/>
      <w:marBottom w:val="0"/>
      <w:divBdr>
        <w:top w:val="none" w:sz="0" w:space="0" w:color="auto"/>
        <w:left w:val="none" w:sz="0" w:space="0" w:color="auto"/>
        <w:bottom w:val="none" w:sz="0" w:space="0" w:color="auto"/>
        <w:right w:val="none" w:sz="0" w:space="0" w:color="auto"/>
      </w:divBdr>
    </w:div>
    <w:div w:id="747725977">
      <w:bodyDiv w:val="1"/>
      <w:marLeft w:val="0"/>
      <w:marRight w:val="0"/>
      <w:marTop w:val="0"/>
      <w:marBottom w:val="0"/>
      <w:divBdr>
        <w:top w:val="none" w:sz="0" w:space="0" w:color="auto"/>
        <w:left w:val="none" w:sz="0" w:space="0" w:color="auto"/>
        <w:bottom w:val="none" w:sz="0" w:space="0" w:color="auto"/>
        <w:right w:val="none" w:sz="0" w:space="0" w:color="auto"/>
      </w:divBdr>
    </w:div>
    <w:div w:id="749424657">
      <w:bodyDiv w:val="1"/>
      <w:marLeft w:val="0"/>
      <w:marRight w:val="0"/>
      <w:marTop w:val="0"/>
      <w:marBottom w:val="0"/>
      <w:divBdr>
        <w:top w:val="none" w:sz="0" w:space="0" w:color="auto"/>
        <w:left w:val="none" w:sz="0" w:space="0" w:color="auto"/>
        <w:bottom w:val="none" w:sz="0" w:space="0" w:color="auto"/>
        <w:right w:val="none" w:sz="0" w:space="0" w:color="auto"/>
      </w:divBdr>
    </w:div>
    <w:div w:id="754716109">
      <w:bodyDiv w:val="1"/>
      <w:marLeft w:val="0"/>
      <w:marRight w:val="0"/>
      <w:marTop w:val="0"/>
      <w:marBottom w:val="0"/>
      <w:divBdr>
        <w:top w:val="none" w:sz="0" w:space="0" w:color="auto"/>
        <w:left w:val="none" w:sz="0" w:space="0" w:color="auto"/>
        <w:bottom w:val="none" w:sz="0" w:space="0" w:color="auto"/>
        <w:right w:val="none" w:sz="0" w:space="0" w:color="auto"/>
      </w:divBdr>
    </w:div>
    <w:div w:id="763453033">
      <w:bodyDiv w:val="1"/>
      <w:marLeft w:val="0"/>
      <w:marRight w:val="0"/>
      <w:marTop w:val="0"/>
      <w:marBottom w:val="0"/>
      <w:divBdr>
        <w:top w:val="none" w:sz="0" w:space="0" w:color="auto"/>
        <w:left w:val="none" w:sz="0" w:space="0" w:color="auto"/>
        <w:bottom w:val="none" w:sz="0" w:space="0" w:color="auto"/>
        <w:right w:val="none" w:sz="0" w:space="0" w:color="auto"/>
      </w:divBdr>
    </w:div>
    <w:div w:id="766997251">
      <w:bodyDiv w:val="1"/>
      <w:marLeft w:val="0"/>
      <w:marRight w:val="0"/>
      <w:marTop w:val="0"/>
      <w:marBottom w:val="0"/>
      <w:divBdr>
        <w:top w:val="none" w:sz="0" w:space="0" w:color="auto"/>
        <w:left w:val="none" w:sz="0" w:space="0" w:color="auto"/>
        <w:bottom w:val="none" w:sz="0" w:space="0" w:color="auto"/>
        <w:right w:val="none" w:sz="0" w:space="0" w:color="auto"/>
      </w:divBdr>
    </w:div>
    <w:div w:id="770396598">
      <w:bodyDiv w:val="1"/>
      <w:marLeft w:val="0"/>
      <w:marRight w:val="0"/>
      <w:marTop w:val="0"/>
      <w:marBottom w:val="0"/>
      <w:divBdr>
        <w:top w:val="none" w:sz="0" w:space="0" w:color="auto"/>
        <w:left w:val="none" w:sz="0" w:space="0" w:color="auto"/>
        <w:bottom w:val="none" w:sz="0" w:space="0" w:color="auto"/>
        <w:right w:val="none" w:sz="0" w:space="0" w:color="auto"/>
      </w:divBdr>
    </w:div>
    <w:div w:id="772016327">
      <w:bodyDiv w:val="1"/>
      <w:marLeft w:val="0"/>
      <w:marRight w:val="0"/>
      <w:marTop w:val="0"/>
      <w:marBottom w:val="0"/>
      <w:divBdr>
        <w:top w:val="none" w:sz="0" w:space="0" w:color="auto"/>
        <w:left w:val="none" w:sz="0" w:space="0" w:color="auto"/>
        <w:bottom w:val="none" w:sz="0" w:space="0" w:color="auto"/>
        <w:right w:val="none" w:sz="0" w:space="0" w:color="auto"/>
      </w:divBdr>
    </w:div>
    <w:div w:id="778794059">
      <w:bodyDiv w:val="1"/>
      <w:marLeft w:val="0"/>
      <w:marRight w:val="0"/>
      <w:marTop w:val="0"/>
      <w:marBottom w:val="0"/>
      <w:divBdr>
        <w:top w:val="none" w:sz="0" w:space="0" w:color="auto"/>
        <w:left w:val="none" w:sz="0" w:space="0" w:color="auto"/>
        <w:bottom w:val="none" w:sz="0" w:space="0" w:color="auto"/>
        <w:right w:val="none" w:sz="0" w:space="0" w:color="auto"/>
      </w:divBdr>
    </w:div>
    <w:div w:id="778985716">
      <w:bodyDiv w:val="1"/>
      <w:marLeft w:val="0"/>
      <w:marRight w:val="0"/>
      <w:marTop w:val="0"/>
      <w:marBottom w:val="0"/>
      <w:divBdr>
        <w:top w:val="none" w:sz="0" w:space="0" w:color="auto"/>
        <w:left w:val="none" w:sz="0" w:space="0" w:color="auto"/>
        <w:bottom w:val="none" w:sz="0" w:space="0" w:color="auto"/>
        <w:right w:val="none" w:sz="0" w:space="0" w:color="auto"/>
      </w:divBdr>
    </w:div>
    <w:div w:id="784618636">
      <w:bodyDiv w:val="1"/>
      <w:marLeft w:val="0"/>
      <w:marRight w:val="0"/>
      <w:marTop w:val="0"/>
      <w:marBottom w:val="0"/>
      <w:divBdr>
        <w:top w:val="none" w:sz="0" w:space="0" w:color="auto"/>
        <w:left w:val="none" w:sz="0" w:space="0" w:color="auto"/>
        <w:bottom w:val="none" w:sz="0" w:space="0" w:color="auto"/>
        <w:right w:val="none" w:sz="0" w:space="0" w:color="auto"/>
      </w:divBdr>
    </w:div>
    <w:div w:id="785468172">
      <w:bodyDiv w:val="1"/>
      <w:marLeft w:val="0"/>
      <w:marRight w:val="0"/>
      <w:marTop w:val="0"/>
      <w:marBottom w:val="0"/>
      <w:divBdr>
        <w:top w:val="none" w:sz="0" w:space="0" w:color="auto"/>
        <w:left w:val="none" w:sz="0" w:space="0" w:color="auto"/>
        <w:bottom w:val="none" w:sz="0" w:space="0" w:color="auto"/>
        <w:right w:val="none" w:sz="0" w:space="0" w:color="auto"/>
      </w:divBdr>
    </w:div>
    <w:div w:id="802894261">
      <w:bodyDiv w:val="1"/>
      <w:marLeft w:val="0"/>
      <w:marRight w:val="0"/>
      <w:marTop w:val="0"/>
      <w:marBottom w:val="0"/>
      <w:divBdr>
        <w:top w:val="none" w:sz="0" w:space="0" w:color="auto"/>
        <w:left w:val="none" w:sz="0" w:space="0" w:color="auto"/>
        <w:bottom w:val="none" w:sz="0" w:space="0" w:color="auto"/>
        <w:right w:val="none" w:sz="0" w:space="0" w:color="auto"/>
      </w:divBdr>
    </w:div>
    <w:div w:id="807430641">
      <w:bodyDiv w:val="1"/>
      <w:marLeft w:val="0"/>
      <w:marRight w:val="0"/>
      <w:marTop w:val="0"/>
      <w:marBottom w:val="0"/>
      <w:divBdr>
        <w:top w:val="none" w:sz="0" w:space="0" w:color="auto"/>
        <w:left w:val="none" w:sz="0" w:space="0" w:color="auto"/>
        <w:bottom w:val="none" w:sz="0" w:space="0" w:color="auto"/>
        <w:right w:val="none" w:sz="0" w:space="0" w:color="auto"/>
      </w:divBdr>
    </w:div>
    <w:div w:id="809055249">
      <w:bodyDiv w:val="1"/>
      <w:marLeft w:val="0"/>
      <w:marRight w:val="0"/>
      <w:marTop w:val="0"/>
      <w:marBottom w:val="0"/>
      <w:divBdr>
        <w:top w:val="none" w:sz="0" w:space="0" w:color="auto"/>
        <w:left w:val="none" w:sz="0" w:space="0" w:color="auto"/>
        <w:bottom w:val="none" w:sz="0" w:space="0" w:color="auto"/>
        <w:right w:val="none" w:sz="0" w:space="0" w:color="auto"/>
      </w:divBdr>
    </w:div>
    <w:div w:id="815292753">
      <w:bodyDiv w:val="1"/>
      <w:marLeft w:val="0"/>
      <w:marRight w:val="0"/>
      <w:marTop w:val="0"/>
      <w:marBottom w:val="0"/>
      <w:divBdr>
        <w:top w:val="none" w:sz="0" w:space="0" w:color="auto"/>
        <w:left w:val="none" w:sz="0" w:space="0" w:color="auto"/>
        <w:bottom w:val="none" w:sz="0" w:space="0" w:color="auto"/>
        <w:right w:val="none" w:sz="0" w:space="0" w:color="auto"/>
      </w:divBdr>
    </w:div>
    <w:div w:id="820998341">
      <w:bodyDiv w:val="1"/>
      <w:marLeft w:val="0"/>
      <w:marRight w:val="0"/>
      <w:marTop w:val="0"/>
      <w:marBottom w:val="0"/>
      <w:divBdr>
        <w:top w:val="none" w:sz="0" w:space="0" w:color="auto"/>
        <w:left w:val="none" w:sz="0" w:space="0" w:color="auto"/>
        <w:bottom w:val="none" w:sz="0" w:space="0" w:color="auto"/>
        <w:right w:val="none" w:sz="0" w:space="0" w:color="auto"/>
      </w:divBdr>
    </w:div>
    <w:div w:id="830683783">
      <w:bodyDiv w:val="1"/>
      <w:marLeft w:val="0"/>
      <w:marRight w:val="0"/>
      <w:marTop w:val="0"/>
      <w:marBottom w:val="0"/>
      <w:divBdr>
        <w:top w:val="none" w:sz="0" w:space="0" w:color="auto"/>
        <w:left w:val="none" w:sz="0" w:space="0" w:color="auto"/>
        <w:bottom w:val="none" w:sz="0" w:space="0" w:color="auto"/>
        <w:right w:val="none" w:sz="0" w:space="0" w:color="auto"/>
      </w:divBdr>
    </w:div>
    <w:div w:id="833105356">
      <w:bodyDiv w:val="1"/>
      <w:marLeft w:val="0"/>
      <w:marRight w:val="0"/>
      <w:marTop w:val="0"/>
      <w:marBottom w:val="0"/>
      <w:divBdr>
        <w:top w:val="none" w:sz="0" w:space="0" w:color="auto"/>
        <w:left w:val="none" w:sz="0" w:space="0" w:color="auto"/>
        <w:bottom w:val="none" w:sz="0" w:space="0" w:color="auto"/>
        <w:right w:val="none" w:sz="0" w:space="0" w:color="auto"/>
      </w:divBdr>
    </w:div>
    <w:div w:id="833375210">
      <w:bodyDiv w:val="1"/>
      <w:marLeft w:val="0"/>
      <w:marRight w:val="0"/>
      <w:marTop w:val="0"/>
      <w:marBottom w:val="0"/>
      <w:divBdr>
        <w:top w:val="none" w:sz="0" w:space="0" w:color="auto"/>
        <w:left w:val="none" w:sz="0" w:space="0" w:color="auto"/>
        <w:bottom w:val="none" w:sz="0" w:space="0" w:color="auto"/>
        <w:right w:val="none" w:sz="0" w:space="0" w:color="auto"/>
      </w:divBdr>
    </w:div>
    <w:div w:id="834538762">
      <w:bodyDiv w:val="1"/>
      <w:marLeft w:val="0"/>
      <w:marRight w:val="0"/>
      <w:marTop w:val="0"/>
      <w:marBottom w:val="0"/>
      <w:divBdr>
        <w:top w:val="none" w:sz="0" w:space="0" w:color="auto"/>
        <w:left w:val="none" w:sz="0" w:space="0" w:color="auto"/>
        <w:bottom w:val="none" w:sz="0" w:space="0" w:color="auto"/>
        <w:right w:val="none" w:sz="0" w:space="0" w:color="auto"/>
      </w:divBdr>
    </w:div>
    <w:div w:id="834606957">
      <w:bodyDiv w:val="1"/>
      <w:marLeft w:val="0"/>
      <w:marRight w:val="0"/>
      <w:marTop w:val="0"/>
      <w:marBottom w:val="0"/>
      <w:divBdr>
        <w:top w:val="none" w:sz="0" w:space="0" w:color="auto"/>
        <w:left w:val="none" w:sz="0" w:space="0" w:color="auto"/>
        <w:bottom w:val="none" w:sz="0" w:space="0" w:color="auto"/>
        <w:right w:val="none" w:sz="0" w:space="0" w:color="auto"/>
      </w:divBdr>
    </w:div>
    <w:div w:id="844979843">
      <w:bodyDiv w:val="1"/>
      <w:marLeft w:val="0"/>
      <w:marRight w:val="0"/>
      <w:marTop w:val="0"/>
      <w:marBottom w:val="0"/>
      <w:divBdr>
        <w:top w:val="none" w:sz="0" w:space="0" w:color="auto"/>
        <w:left w:val="none" w:sz="0" w:space="0" w:color="auto"/>
        <w:bottom w:val="none" w:sz="0" w:space="0" w:color="auto"/>
        <w:right w:val="none" w:sz="0" w:space="0" w:color="auto"/>
      </w:divBdr>
    </w:div>
    <w:div w:id="853569545">
      <w:bodyDiv w:val="1"/>
      <w:marLeft w:val="0"/>
      <w:marRight w:val="0"/>
      <w:marTop w:val="0"/>
      <w:marBottom w:val="0"/>
      <w:divBdr>
        <w:top w:val="none" w:sz="0" w:space="0" w:color="auto"/>
        <w:left w:val="none" w:sz="0" w:space="0" w:color="auto"/>
        <w:bottom w:val="none" w:sz="0" w:space="0" w:color="auto"/>
        <w:right w:val="none" w:sz="0" w:space="0" w:color="auto"/>
      </w:divBdr>
    </w:div>
    <w:div w:id="854077850">
      <w:bodyDiv w:val="1"/>
      <w:marLeft w:val="0"/>
      <w:marRight w:val="0"/>
      <w:marTop w:val="0"/>
      <w:marBottom w:val="0"/>
      <w:divBdr>
        <w:top w:val="none" w:sz="0" w:space="0" w:color="auto"/>
        <w:left w:val="none" w:sz="0" w:space="0" w:color="auto"/>
        <w:bottom w:val="none" w:sz="0" w:space="0" w:color="auto"/>
        <w:right w:val="none" w:sz="0" w:space="0" w:color="auto"/>
      </w:divBdr>
    </w:div>
    <w:div w:id="855313647">
      <w:bodyDiv w:val="1"/>
      <w:marLeft w:val="0"/>
      <w:marRight w:val="0"/>
      <w:marTop w:val="0"/>
      <w:marBottom w:val="0"/>
      <w:divBdr>
        <w:top w:val="none" w:sz="0" w:space="0" w:color="auto"/>
        <w:left w:val="none" w:sz="0" w:space="0" w:color="auto"/>
        <w:bottom w:val="none" w:sz="0" w:space="0" w:color="auto"/>
        <w:right w:val="none" w:sz="0" w:space="0" w:color="auto"/>
      </w:divBdr>
    </w:div>
    <w:div w:id="858085240">
      <w:bodyDiv w:val="1"/>
      <w:marLeft w:val="0"/>
      <w:marRight w:val="0"/>
      <w:marTop w:val="0"/>
      <w:marBottom w:val="0"/>
      <w:divBdr>
        <w:top w:val="none" w:sz="0" w:space="0" w:color="auto"/>
        <w:left w:val="none" w:sz="0" w:space="0" w:color="auto"/>
        <w:bottom w:val="none" w:sz="0" w:space="0" w:color="auto"/>
        <w:right w:val="none" w:sz="0" w:space="0" w:color="auto"/>
      </w:divBdr>
    </w:div>
    <w:div w:id="860094884">
      <w:bodyDiv w:val="1"/>
      <w:marLeft w:val="0"/>
      <w:marRight w:val="0"/>
      <w:marTop w:val="0"/>
      <w:marBottom w:val="0"/>
      <w:divBdr>
        <w:top w:val="none" w:sz="0" w:space="0" w:color="auto"/>
        <w:left w:val="none" w:sz="0" w:space="0" w:color="auto"/>
        <w:bottom w:val="none" w:sz="0" w:space="0" w:color="auto"/>
        <w:right w:val="none" w:sz="0" w:space="0" w:color="auto"/>
      </w:divBdr>
    </w:div>
    <w:div w:id="861549364">
      <w:bodyDiv w:val="1"/>
      <w:marLeft w:val="0"/>
      <w:marRight w:val="0"/>
      <w:marTop w:val="0"/>
      <w:marBottom w:val="0"/>
      <w:divBdr>
        <w:top w:val="none" w:sz="0" w:space="0" w:color="auto"/>
        <w:left w:val="none" w:sz="0" w:space="0" w:color="auto"/>
        <w:bottom w:val="none" w:sz="0" w:space="0" w:color="auto"/>
        <w:right w:val="none" w:sz="0" w:space="0" w:color="auto"/>
      </w:divBdr>
    </w:div>
    <w:div w:id="870268827">
      <w:bodyDiv w:val="1"/>
      <w:marLeft w:val="0"/>
      <w:marRight w:val="0"/>
      <w:marTop w:val="0"/>
      <w:marBottom w:val="0"/>
      <w:divBdr>
        <w:top w:val="none" w:sz="0" w:space="0" w:color="auto"/>
        <w:left w:val="none" w:sz="0" w:space="0" w:color="auto"/>
        <w:bottom w:val="none" w:sz="0" w:space="0" w:color="auto"/>
        <w:right w:val="none" w:sz="0" w:space="0" w:color="auto"/>
      </w:divBdr>
      <w:divsChild>
        <w:div w:id="776412597">
          <w:marLeft w:val="0"/>
          <w:marRight w:val="0"/>
          <w:marTop w:val="0"/>
          <w:marBottom w:val="0"/>
          <w:divBdr>
            <w:top w:val="none" w:sz="0" w:space="0" w:color="auto"/>
            <w:left w:val="none" w:sz="0" w:space="0" w:color="auto"/>
            <w:bottom w:val="none" w:sz="0" w:space="0" w:color="auto"/>
            <w:right w:val="none" w:sz="0" w:space="0" w:color="auto"/>
          </w:divBdr>
        </w:div>
      </w:divsChild>
    </w:div>
    <w:div w:id="876159233">
      <w:bodyDiv w:val="1"/>
      <w:marLeft w:val="0"/>
      <w:marRight w:val="0"/>
      <w:marTop w:val="0"/>
      <w:marBottom w:val="0"/>
      <w:divBdr>
        <w:top w:val="none" w:sz="0" w:space="0" w:color="auto"/>
        <w:left w:val="none" w:sz="0" w:space="0" w:color="auto"/>
        <w:bottom w:val="none" w:sz="0" w:space="0" w:color="auto"/>
        <w:right w:val="none" w:sz="0" w:space="0" w:color="auto"/>
      </w:divBdr>
    </w:div>
    <w:div w:id="876282296">
      <w:bodyDiv w:val="1"/>
      <w:marLeft w:val="0"/>
      <w:marRight w:val="0"/>
      <w:marTop w:val="0"/>
      <w:marBottom w:val="0"/>
      <w:divBdr>
        <w:top w:val="none" w:sz="0" w:space="0" w:color="auto"/>
        <w:left w:val="none" w:sz="0" w:space="0" w:color="auto"/>
        <w:bottom w:val="none" w:sz="0" w:space="0" w:color="auto"/>
        <w:right w:val="none" w:sz="0" w:space="0" w:color="auto"/>
      </w:divBdr>
    </w:div>
    <w:div w:id="882402500">
      <w:bodyDiv w:val="1"/>
      <w:marLeft w:val="0"/>
      <w:marRight w:val="0"/>
      <w:marTop w:val="0"/>
      <w:marBottom w:val="0"/>
      <w:divBdr>
        <w:top w:val="none" w:sz="0" w:space="0" w:color="auto"/>
        <w:left w:val="none" w:sz="0" w:space="0" w:color="auto"/>
        <w:bottom w:val="none" w:sz="0" w:space="0" w:color="auto"/>
        <w:right w:val="none" w:sz="0" w:space="0" w:color="auto"/>
      </w:divBdr>
    </w:div>
    <w:div w:id="886530373">
      <w:bodyDiv w:val="1"/>
      <w:marLeft w:val="0"/>
      <w:marRight w:val="0"/>
      <w:marTop w:val="0"/>
      <w:marBottom w:val="0"/>
      <w:divBdr>
        <w:top w:val="none" w:sz="0" w:space="0" w:color="auto"/>
        <w:left w:val="none" w:sz="0" w:space="0" w:color="auto"/>
        <w:bottom w:val="none" w:sz="0" w:space="0" w:color="auto"/>
        <w:right w:val="none" w:sz="0" w:space="0" w:color="auto"/>
      </w:divBdr>
    </w:div>
    <w:div w:id="892620535">
      <w:bodyDiv w:val="1"/>
      <w:marLeft w:val="0"/>
      <w:marRight w:val="0"/>
      <w:marTop w:val="0"/>
      <w:marBottom w:val="0"/>
      <w:divBdr>
        <w:top w:val="none" w:sz="0" w:space="0" w:color="auto"/>
        <w:left w:val="none" w:sz="0" w:space="0" w:color="auto"/>
        <w:bottom w:val="none" w:sz="0" w:space="0" w:color="auto"/>
        <w:right w:val="none" w:sz="0" w:space="0" w:color="auto"/>
      </w:divBdr>
    </w:div>
    <w:div w:id="893977096">
      <w:bodyDiv w:val="1"/>
      <w:marLeft w:val="0"/>
      <w:marRight w:val="0"/>
      <w:marTop w:val="0"/>
      <w:marBottom w:val="0"/>
      <w:divBdr>
        <w:top w:val="none" w:sz="0" w:space="0" w:color="auto"/>
        <w:left w:val="none" w:sz="0" w:space="0" w:color="auto"/>
        <w:bottom w:val="none" w:sz="0" w:space="0" w:color="auto"/>
        <w:right w:val="none" w:sz="0" w:space="0" w:color="auto"/>
      </w:divBdr>
    </w:div>
    <w:div w:id="900288762">
      <w:bodyDiv w:val="1"/>
      <w:marLeft w:val="0"/>
      <w:marRight w:val="0"/>
      <w:marTop w:val="0"/>
      <w:marBottom w:val="0"/>
      <w:divBdr>
        <w:top w:val="none" w:sz="0" w:space="0" w:color="auto"/>
        <w:left w:val="none" w:sz="0" w:space="0" w:color="auto"/>
        <w:bottom w:val="none" w:sz="0" w:space="0" w:color="auto"/>
        <w:right w:val="none" w:sz="0" w:space="0" w:color="auto"/>
      </w:divBdr>
    </w:div>
    <w:div w:id="904222357">
      <w:bodyDiv w:val="1"/>
      <w:marLeft w:val="0"/>
      <w:marRight w:val="0"/>
      <w:marTop w:val="0"/>
      <w:marBottom w:val="0"/>
      <w:divBdr>
        <w:top w:val="none" w:sz="0" w:space="0" w:color="auto"/>
        <w:left w:val="none" w:sz="0" w:space="0" w:color="auto"/>
        <w:bottom w:val="none" w:sz="0" w:space="0" w:color="auto"/>
        <w:right w:val="none" w:sz="0" w:space="0" w:color="auto"/>
      </w:divBdr>
    </w:div>
    <w:div w:id="907957362">
      <w:bodyDiv w:val="1"/>
      <w:marLeft w:val="0"/>
      <w:marRight w:val="0"/>
      <w:marTop w:val="0"/>
      <w:marBottom w:val="0"/>
      <w:divBdr>
        <w:top w:val="none" w:sz="0" w:space="0" w:color="auto"/>
        <w:left w:val="none" w:sz="0" w:space="0" w:color="auto"/>
        <w:bottom w:val="none" w:sz="0" w:space="0" w:color="auto"/>
        <w:right w:val="none" w:sz="0" w:space="0" w:color="auto"/>
      </w:divBdr>
    </w:div>
    <w:div w:id="912357356">
      <w:bodyDiv w:val="1"/>
      <w:marLeft w:val="0"/>
      <w:marRight w:val="0"/>
      <w:marTop w:val="0"/>
      <w:marBottom w:val="0"/>
      <w:divBdr>
        <w:top w:val="none" w:sz="0" w:space="0" w:color="auto"/>
        <w:left w:val="none" w:sz="0" w:space="0" w:color="auto"/>
        <w:bottom w:val="none" w:sz="0" w:space="0" w:color="auto"/>
        <w:right w:val="none" w:sz="0" w:space="0" w:color="auto"/>
      </w:divBdr>
      <w:divsChild>
        <w:div w:id="1092045043">
          <w:marLeft w:val="0"/>
          <w:marRight w:val="0"/>
          <w:marTop w:val="0"/>
          <w:marBottom w:val="0"/>
          <w:divBdr>
            <w:top w:val="none" w:sz="0" w:space="0" w:color="auto"/>
            <w:left w:val="none" w:sz="0" w:space="0" w:color="auto"/>
            <w:bottom w:val="none" w:sz="0" w:space="0" w:color="auto"/>
            <w:right w:val="none" w:sz="0" w:space="0" w:color="auto"/>
          </w:divBdr>
        </w:div>
      </w:divsChild>
    </w:div>
    <w:div w:id="912666903">
      <w:bodyDiv w:val="1"/>
      <w:marLeft w:val="0"/>
      <w:marRight w:val="0"/>
      <w:marTop w:val="0"/>
      <w:marBottom w:val="0"/>
      <w:divBdr>
        <w:top w:val="none" w:sz="0" w:space="0" w:color="auto"/>
        <w:left w:val="none" w:sz="0" w:space="0" w:color="auto"/>
        <w:bottom w:val="none" w:sz="0" w:space="0" w:color="auto"/>
        <w:right w:val="none" w:sz="0" w:space="0" w:color="auto"/>
      </w:divBdr>
    </w:div>
    <w:div w:id="915430900">
      <w:bodyDiv w:val="1"/>
      <w:marLeft w:val="0"/>
      <w:marRight w:val="0"/>
      <w:marTop w:val="0"/>
      <w:marBottom w:val="0"/>
      <w:divBdr>
        <w:top w:val="none" w:sz="0" w:space="0" w:color="auto"/>
        <w:left w:val="none" w:sz="0" w:space="0" w:color="auto"/>
        <w:bottom w:val="none" w:sz="0" w:space="0" w:color="auto"/>
        <w:right w:val="none" w:sz="0" w:space="0" w:color="auto"/>
      </w:divBdr>
    </w:div>
    <w:div w:id="918713870">
      <w:bodyDiv w:val="1"/>
      <w:marLeft w:val="0"/>
      <w:marRight w:val="0"/>
      <w:marTop w:val="0"/>
      <w:marBottom w:val="0"/>
      <w:divBdr>
        <w:top w:val="none" w:sz="0" w:space="0" w:color="auto"/>
        <w:left w:val="none" w:sz="0" w:space="0" w:color="auto"/>
        <w:bottom w:val="none" w:sz="0" w:space="0" w:color="auto"/>
        <w:right w:val="none" w:sz="0" w:space="0" w:color="auto"/>
      </w:divBdr>
    </w:div>
    <w:div w:id="919295277">
      <w:bodyDiv w:val="1"/>
      <w:marLeft w:val="0"/>
      <w:marRight w:val="0"/>
      <w:marTop w:val="0"/>
      <w:marBottom w:val="0"/>
      <w:divBdr>
        <w:top w:val="none" w:sz="0" w:space="0" w:color="auto"/>
        <w:left w:val="none" w:sz="0" w:space="0" w:color="auto"/>
        <w:bottom w:val="none" w:sz="0" w:space="0" w:color="auto"/>
        <w:right w:val="none" w:sz="0" w:space="0" w:color="auto"/>
      </w:divBdr>
    </w:div>
    <w:div w:id="924461056">
      <w:bodyDiv w:val="1"/>
      <w:marLeft w:val="0"/>
      <w:marRight w:val="0"/>
      <w:marTop w:val="0"/>
      <w:marBottom w:val="0"/>
      <w:divBdr>
        <w:top w:val="none" w:sz="0" w:space="0" w:color="auto"/>
        <w:left w:val="none" w:sz="0" w:space="0" w:color="auto"/>
        <w:bottom w:val="none" w:sz="0" w:space="0" w:color="auto"/>
        <w:right w:val="none" w:sz="0" w:space="0" w:color="auto"/>
      </w:divBdr>
    </w:div>
    <w:div w:id="930237970">
      <w:bodyDiv w:val="1"/>
      <w:marLeft w:val="0"/>
      <w:marRight w:val="0"/>
      <w:marTop w:val="0"/>
      <w:marBottom w:val="0"/>
      <w:divBdr>
        <w:top w:val="none" w:sz="0" w:space="0" w:color="auto"/>
        <w:left w:val="none" w:sz="0" w:space="0" w:color="auto"/>
        <w:bottom w:val="none" w:sz="0" w:space="0" w:color="auto"/>
        <w:right w:val="none" w:sz="0" w:space="0" w:color="auto"/>
      </w:divBdr>
    </w:div>
    <w:div w:id="943800970">
      <w:bodyDiv w:val="1"/>
      <w:marLeft w:val="0"/>
      <w:marRight w:val="0"/>
      <w:marTop w:val="0"/>
      <w:marBottom w:val="0"/>
      <w:divBdr>
        <w:top w:val="none" w:sz="0" w:space="0" w:color="auto"/>
        <w:left w:val="none" w:sz="0" w:space="0" w:color="auto"/>
        <w:bottom w:val="none" w:sz="0" w:space="0" w:color="auto"/>
        <w:right w:val="none" w:sz="0" w:space="0" w:color="auto"/>
      </w:divBdr>
      <w:divsChild>
        <w:div w:id="2002351644">
          <w:marLeft w:val="0"/>
          <w:marRight w:val="0"/>
          <w:marTop w:val="0"/>
          <w:marBottom w:val="0"/>
          <w:divBdr>
            <w:top w:val="none" w:sz="0" w:space="0" w:color="auto"/>
            <w:left w:val="none" w:sz="0" w:space="0" w:color="auto"/>
            <w:bottom w:val="none" w:sz="0" w:space="0" w:color="auto"/>
            <w:right w:val="none" w:sz="0" w:space="0" w:color="auto"/>
          </w:divBdr>
        </w:div>
      </w:divsChild>
    </w:div>
    <w:div w:id="959149712">
      <w:bodyDiv w:val="1"/>
      <w:marLeft w:val="0"/>
      <w:marRight w:val="0"/>
      <w:marTop w:val="0"/>
      <w:marBottom w:val="0"/>
      <w:divBdr>
        <w:top w:val="none" w:sz="0" w:space="0" w:color="auto"/>
        <w:left w:val="none" w:sz="0" w:space="0" w:color="auto"/>
        <w:bottom w:val="none" w:sz="0" w:space="0" w:color="auto"/>
        <w:right w:val="none" w:sz="0" w:space="0" w:color="auto"/>
      </w:divBdr>
    </w:div>
    <w:div w:id="959647958">
      <w:bodyDiv w:val="1"/>
      <w:marLeft w:val="0"/>
      <w:marRight w:val="0"/>
      <w:marTop w:val="0"/>
      <w:marBottom w:val="0"/>
      <w:divBdr>
        <w:top w:val="none" w:sz="0" w:space="0" w:color="auto"/>
        <w:left w:val="none" w:sz="0" w:space="0" w:color="auto"/>
        <w:bottom w:val="none" w:sz="0" w:space="0" w:color="auto"/>
        <w:right w:val="none" w:sz="0" w:space="0" w:color="auto"/>
      </w:divBdr>
    </w:div>
    <w:div w:id="962494180">
      <w:bodyDiv w:val="1"/>
      <w:marLeft w:val="0"/>
      <w:marRight w:val="0"/>
      <w:marTop w:val="0"/>
      <w:marBottom w:val="0"/>
      <w:divBdr>
        <w:top w:val="none" w:sz="0" w:space="0" w:color="auto"/>
        <w:left w:val="none" w:sz="0" w:space="0" w:color="auto"/>
        <w:bottom w:val="none" w:sz="0" w:space="0" w:color="auto"/>
        <w:right w:val="none" w:sz="0" w:space="0" w:color="auto"/>
      </w:divBdr>
    </w:div>
    <w:div w:id="962804979">
      <w:bodyDiv w:val="1"/>
      <w:marLeft w:val="0"/>
      <w:marRight w:val="0"/>
      <w:marTop w:val="0"/>
      <w:marBottom w:val="0"/>
      <w:divBdr>
        <w:top w:val="none" w:sz="0" w:space="0" w:color="auto"/>
        <w:left w:val="none" w:sz="0" w:space="0" w:color="auto"/>
        <w:bottom w:val="none" w:sz="0" w:space="0" w:color="auto"/>
        <w:right w:val="none" w:sz="0" w:space="0" w:color="auto"/>
      </w:divBdr>
    </w:div>
    <w:div w:id="963005936">
      <w:bodyDiv w:val="1"/>
      <w:marLeft w:val="0"/>
      <w:marRight w:val="0"/>
      <w:marTop w:val="0"/>
      <w:marBottom w:val="0"/>
      <w:divBdr>
        <w:top w:val="none" w:sz="0" w:space="0" w:color="auto"/>
        <w:left w:val="none" w:sz="0" w:space="0" w:color="auto"/>
        <w:bottom w:val="none" w:sz="0" w:space="0" w:color="auto"/>
        <w:right w:val="none" w:sz="0" w:space="0" w:color="auto"/>
      </w:divBdr>
    </w:div>
    <w:div w:id="967397455">
      <w:bodyDiv w:val="1"/>
      <w:marLeft w:val="0"/>
      <w:marRight w:val="0"/>
      <w:marTop w:val="0"/>
      <w:marBottom w:val="0"/>
      <w:divBdr>
        <w:top w:val="none" w:sz="0" w:space="0" w:color="auto"/>
        <w:left w:val="none" w:sz="0" w:space="0" w:color="auto"/>
        <w:bottom w:val="none" w:sz="0" w:space="0" w:color="auto"/>
        <w:right w:val="none" w:sz="0" w:space="0" w:color="auto"/>
      </w:divBdr>
      <w:divsChild>
        <w:div w:id="1928885981">
          <w:marLeft w:val="0"/>
          <w:marRight w:val="0"/>
          <w:marTop w:val="0"/>
          <w:marBottom w:val="0"/>
          <w:divBdr>
            <w:top w:val="none" w:sz="0" w:space="0" w:color="auto"/>
            <w:left w:val="none" w:sz="0" w:space="0" w:color="auto"/>
            <w:bottom w:val="none" w:sz="0" w:space="0" w:color="auto"/>
            <w:right w:val="none" w:sz="0" w:space="0" w:color="auto"/>
          </w:divBdr>
        </w:div>
      </w:divsChild>
    </w:div>
    <w:div w:id="971790063">
      <w:bodyDiv w:val="1"/>
      <w:marLeft w:val="0"/>
      <w:marRight w:val="0"/>
      <w:marTop w:val="0"/>
      <w:marBottom w:val="0"/>
      <w:divBdr>
        <w:top w:val="none" w:sz="0" w:space="0" w:color="auto"/>
        <w:left w:val="none" w:sz="0" w:space="0" w:color="auto"/>
        <w:bottom w:val="none" w:sz="0" w:space="0" w:color="auto"/>
        <w:right w:val="none" w:sz="0" w:space="0" w:color="auto"/>
      </w:divBdr>
      <w:divsChild>
        <w:div w:id="1656760848">
          <w:marLeft w:val="0"/>
          <w:marRight w:val="0"/>
          <w:marTop w:val="0"/>
          <w:marBottom w:val="0"/>
          <w:divBdr>
            <w:top w:val="none" w:sz="0" w:space="0" w:color="auto"/>
            <w:left w:val="none" w:sz="0" w:space="0" w:color="auto"/>
            <w:bottom w:val="none" w:sz="0" w:space="0" w:color="auto"/>
            <w:right w:val="none" w:sz="0" w:space="0" w:color="auto"/>
          </w:divBdr>
        </w:div>
      </w:divsChild>
    </w:div>
    <w:div w:id="982857453">
      <w:bodyDiv w:val="1"/>
      <w:marLeft w:val="0"/>
      <w:marRight w:val="0"/>
      <w:marTop w:val="0"/>
      <w:marBottom w:val="0"/>
      <w:divBdr>
        <w:top w:val="none" w:sz="0" w:space="0" w:color="auto"/>
        <w:left w:val="none" w:sz="0" w:space="0" w:color="auto"/>
        <w:bottom w:val="none" w:sz="0" w:space="0" w:color="auto"/>
        <w:right w:val="none" w:sz="0" w:space="0" w:color="auto"/>
      </w:divBdr>
    </w:div>
    <w:div w:id="990642861">
      <w:bodyDiv w:val="1"/>
      <w:marLeft w:val="0"/>
      <w:marRight w:val="0"/>
      <w:marTop w:val="0"/>
      <w:marBottom w:val="0"/>
      <w:divBdr>
        <w:top w:val="none" w:sz="0" w:space="0" w:color="auto"/>
        <w:left w:val="none" w:sz="0" w:space="0" w:color="auto"/>
        <w:bottom w:val="none" w:sz="0" w:space="0" w:color="auto"/>
        <w:right w:val="none" w:sz="0" w:space="0" w:color="auto"/>
      </w:divBdr>
    </w:div>
    <w:div w:id="1009135151">
      <w:bodyDiv w:val="1"/>
      <w:marLeft w:val="0"/>
      <w:marRight w:val="0"/>
      <w:marTop w:val="0"/>
      <w:marBottom w:val="0"/>
      <w:divBdr>
        <w:top w:val="none" w:sz="0" w:space="0" w:color="auto"/>
        <w:left w:val="none" w:sz="0" w:space="0" w:color="auto"/>
        <w:bottom w:val="none" w:sz="0" w:space="0" w:color="auto"/>
        <w:right w:val="none" w:sz="0" w:space="0" w:color="auto"/>
      </w:divBdr>
    </w:div>
    <w:div w:id="1017392610">
      <w:bodyDiv w:val="1"/>
      <w:marLeft w:val="0"/>
      <w:marRight w:val="0"/>
      <w:marTop w:val="0"/>
      <w:marBottom w:val="0"/>
      <w:divBdr>
        <w:top w:val="none" w:sz="0" w:space="0" w:color="auto"/>
        <w:left w:val="none" w:sz="0" w:space="0" w:color="auto"/>
        <w:bottom w:val="none" w:sz="0" w:space="0" w:color="auto"/>
        <w:right w:val="none" w:sz="0" w:space="0" w:color="auto"/>
      </w:divBdr>
    </w:div>
    <w:div w:id="1021660066">
      <w:bodyDiv w:val="1"/>
      <w:marLeft w:val="0"/>
      <w:marRight w:val="0"/>
      <w:marTop w:val="0"/>
      <w:marBottom w:val="0"/>
      <w:divBdr>
        <w:top w:val="none" w:sz="0" w:space="0" w:color="auto"/>
        <w:left w:val="none" w:sz="0" w:space="0" w:color="auto"/>
        <w:bottom w:val="none" w:sz="0" w:space="0" w:color="auto"/>
        <w:right w:val="none" w:sz="0" w:space="0" w:color="auto"/>
      </w:divBdr>
    </w:div>
    <w:div w:id="1029062446">
      <w:bodyDiv w:val="1"/>
      <w:marLeft w:val="0"/>
      <w:marRight w:val="0"/>
      <w:marTop w:val="0"/>
      <w:marBottom w:val="0"/>
      <w:divBdr>
        <w:top w:val="none" w:sz="0" w:space="0" w:color="auto"/>
        <w:left w:val="none" w:sz="0" w:space="0" w:color="auto"/>
        <w:bottom w:val="none" w:sz="0" w:space="0" w:color="auto"/>
        <w:right w:val="none" w:sz="0" w:space="0" w:color="auto"/>
      </w:divBdr>
    </w:div>
    <w:div w:id="1029447872">
      <w:bodyDiv w:val="1"/>
      <w:marLeft w:val="0"/>
      <w:marRight w:val="0"/>
      <w:marTop w:val="0"/>
      <w:marBottom w:val="0"/>
      <w:divBdr>
        <w:top w:val="none" w:sz="0" w:space="0" w:color="auto"/>
        <w:left w:val="none" w:sz="0" w:space="0" w:color="auto"/>
        <w:bottom w:val="none" w:sz="0" w:space="0" w:color="auto"/>
        <w:right w:val="none" w:sz="0" w:space="0" w:color="auto"/>
      </w:divBdr>
    </w:div>
    <w:div w:id="1032725614">
      <w:bodyDiv w:val="1"/>
      <w:marLeft w:val="0"/>
      <w:marRight w:val="0"/>
      <w:marTop w:val="0"/>
      <w:marBottom w:val="0"/>
      <w:divBdr>
        <w:top w:val="none" w:sz="0" w:space="0" w:color="auto"/>
        <w:left w:val="none" w:sz="0" w:space="0" w:color="auto"/>
        <w:bottom w:val="none" w:sz="0" w:space="0" w:color="auto"/>
        <w:right w:val="none" w:sz="0" w:space="0" w:color="auto"/>
      </w:divBdr>
      <w:divsChild>
        <w:div w:id="440535139">
          <w:marLeft w:val="0"/>
          <w:marRight w:val="0"/>
          <w:marTop w:val="0"/>
          <w:marBottom w:val="0"/>
          <w:divBdr>
            <w:top w:val="none" w:sz="0" w:space="0" w:color="auto"/>
            <w:left w:val="none" w:sz="0" w:space="0" w:color="auto"/>
            <w:bottom w:val="none" w:sz="0" w:space="0" w:color="auto"/>
            <w:right w:val="none" w:sz="0" w:space="0" w:color="auto"/>
          </w:divBdr>
        </w:div>
      </w:divsChild>
    </w:div>
    <w:div w:id="1032806002">
      <w:bodyDiv w:val="1"/>
      <w:marLeft w:val="0"/>
      <w:marRight w:val="0"/>
      <w:marTop w:val="0"/>
      <w:marBottom w:val="0"/>
      <w:divBdr>
        <w:top w:val="none" w:sz="0" w:space="0" w:color="auto"/>
        <w:left w:val="none" w:sz="0" w:space="0" w:color="auto"/>
        <w:bottom w:val="none" w:sz="0" w:space="0" w:color="auto"/>
        <w:right w:val="none" w:sz="0" w:space="0" w:color="auto"/>
      </w:divBdr>
      <w:divsChild>
        <w:div w:id="1324243057">
          <w:marLeft w:val="60"/>
          <w:marRight w:val="60"/>
          <w:marTop w:val="100"/>
          <w:marBottom w:val="100"/>
          <w:divBdr>
            <w:top w:val="none" w:sz="0" w:space="0" w:color="auto"/>
            <w:left w:val="none" w:sz="0" w:space="0" w:color="auto"/>
            <w:bottom w:val="none" w:sz="0" w:space="0" w:color="auto"/>
            <w:right w:val="none" w:sz="0" w:space="0" w:color="auto"/>
          </w:divBdr>
          <w:divsChild>
            <w:div w:id="1634630597">
              <w:marLeft w:val="0"/>
              <w:marRight w:val="0"/>
              <w:marTop w:val="0"/>
              <w:marBottom w:val="0"/>
              <w:divBdr>
                <w:top w:val="none" w:sz="0" w:space="0" w:color="auto"/>
                <w:left w:val="none" w:sz="0" w:space="0" w:color="auto"/>
                <w:bottom w:val="none" w:sz="0" w:space="0" w:color="auto"/>
                <w:right w:val="none" w:sz="0" w:space="0" w:color="auto"/>
              </w:divBdr>
            </w:div>
          </w:divsChild>
        </w:div>
        <w:div w:id="1604998220">
          <w:marLeft w:val="60"/>
          <w:marRight w:val="60"/>
          <w:marTop w:val="100"/>
          <w:marBottom w:val="100"/>
          <w:divBdr>
            <w:top w:val="none" w:sz="0" w:space="0" w:color="auto"/>
            <w:left w:val="none" w:sz="0" w:space="0" w:color="auto"/>
            <w:bottom w:val="none" w:sz="0" w:space="0" w:color="auto"/>
            <w:right w:val="none" w:sz="0" w:space="0" w:color="auto"/>
          </w:divBdr>
          <w:divsChild>
            <w:div w:id="2116438804">
              <w:marLeft w:val="0"/>
              <w:marRight w:val="0"/>
              <w:marTop w:val="0"/>
              <w:marBottom w:val="0"/>
              <w:divBdr>
                <w:top w:val="none" w:sz="0" w:space="0" w:color="auto"/>
                <w:left w:val="none" w:sz="0" w:space="0" w:color="auto"/>
                <w:bottom w:val="none" w:sz="0" w:space="0" w:color="auto"/>
                <w:right w:val="none" w:sz="0" w:space="0" w:color="auto"/>
              </w:divBdr>
            </w:div>
          </w:divsChild>
        </w:div>
        <w:div w:id="789982424">
          <w:marLeft w:val="60"/>
          <w:marRight w:val="60"/>
          <w:marTop w:val="100"/>
          <w:marBottom w:val="100"/>
          <w:divBdr>
            <w:top w:val="none" w:sz="0" w:space="0" w:color="auto"/>
            <w:left w:val="none" w:sz="0" w:space="0" w:color="auto"/>
            <w:bottom w:val="none" w:sz="0" w:space="0" w:color="auto"/>
            <w:right w:val="none" w:sz="0" w:space="0" w:color="auto"/>
          </w:divBdr>
          <w:divsChild>
            <w:div w:id="140511772">
              <w:marLeft w:val="0"/>
              <w:marRight w:val="0"/>
              <w:marTop w:val="0"/>
              <w:marBottom w:val="0"/>
              <w:divBdr>
                <w:top w:val="none" w:sz="0" w:space="0" w:color="auto"/>
                <w:left w:val="none" w:sz="0" w:space="0" w:color="auto"/>
                <w:bottom w:val="none" w:sz="0" w:space="0" w:color="auto"/>
                <w:right w:val="none" w:sz="0" w:space="0" w:color="auto"/>
              </w:divBdr>
            </w:div>
            <w:div w:id="1611038473">
              <w:marLeft w:val="0"/>
              <w:marRight w:val="0"/>
              <w:marTop w:val="0"/>
              <w:marBottom w:val="0"/>
              <w:divBdr>
                <w:top w:val="none" w:sz="0" w:space="0" w:color="auto"/>
                <w:left w:val="none" w:sz="0" w:space="0" w:color="auto"/>
                <w:bottom w:val="none" w:sz="0" w:space="0" w:color="auto"/>
                <w:right w:val="none" w:sz="0" w:space="0" w:color="auto"/>
              </w:divBdr>
            </w:div>
          </w:divsChild>
        </w:div>
        <w:div w:id="1981881692">
          <w:marLeft w:val="60"/>
          <w:marRight w:val="60"/>
          <w:marTop w:val="100"/>
          <w:marBottom w:val="100"/>
          <w:divBdr>
            <w:top w:val="none" w:sz="0" w:space="0" w:color="auto"/>
            <w:left w:val="none" w:sz="0" w:space="0" w:color="auto"/>
            <w:bottom w:val="none" w:sz="0" w:space="0" w:color="auto"/>
            <w:right w:val="none" w:sz="0" w:space="0" w:color="auto"/>
          </w:divBdr>
          <w:divsChild>
            <w:div w:id="17284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749812">
      <w:bodyDiv w:val="1"/>
      <w:marLeft w:val="0"/>
      <w:marRight w:val="0"/>
      <w:marTop w:val="0"/>
      <w:marBottom w:val="0"/>
      <w:divBdr>
        <w:top w:val="none" w:sz="0" w:space="0" w:color="auto"/>
        <w:left w:val="none" w:sz="0" w:space="0" w:color="auto"/>
        <w:bottom w:val="none" w:sz="0" w:space="0" w:color="auto"/>
        <w:right w:val="none" w:sz="0" w:space="0" w:color="auto"/>
      </w:divBdr>
    </w:div>
    <w:div w:id="1045105227">
      <w:bodyDiv w:val="1"/>
      <w:marLeft w:val="0"/>
      <w:marRight w:val="0"/>
      <w:marTop w:val="0"/>
      <w:marBottom w:val="0"/>
      <w:divBdr>
        <w:top w:val="none" w:sz="0" w:space="0" w:color="auto"/>
        <w:left w:val="none" w:sz="0" w:space="0" w:color="auto"/>
        <w:bottom w:val="none" w:sz="0" w:space="0" w:color="auto"/>
        <w:right w:val="none" w:sz="0" w:space="0" w:color="auto"/>
      </w:divBdr>
    </w:div>
    <w:div w:id="1047608267">
      <w:bodyDiv w:val="1"/>
      <w:marLeft w:val="0"/>
      <w:marRight w:val="0"/>
      <w:marTop w:val="0"/>
      <w:marBottom w:val="0"/>
      <w:divBdr>
        <w:top w:val="none" w:sz="0" w:space="0" w:color="auto"/>
        <w:left w:val="none" w:sz="0" w:space="0" w:color="auto"/>
        <w:bottom w:val="none" w:sz="0" w:space="0" w:color="auto"/>
        <w:right w:val="none" w:sz="0" w:space="0" w:color="auto"/>
      </w:divBdr>
    </w:div>
    <w:div w:id="1058018508">
      <w:bodyDiv w:val="1"/>
      <w:marLeft w:val="0"/>
      <w:marRight w:val="0"/>
      <w:marTop w:val="0"/>
      <w:marBottom w:val="0"/>
      <w:divBdr>
        <w:top w:val="none" w:sz="0" w:space="0" w:color="auto"/>
        <w:left w:val="none" w:sz="0" w:space="0" w:color="auto"/>
        <w:bottom w:val="none" w:sz="0" w:space="0" w:color="auto"/>
        <w:right w:val="none" w:sz="0" w:space="0" w:color="auto"/>
      </w:divBdr>
    </w:div>
    <w:div w:id="1061903215">
      <w:bodyDiv w:val="1"/>
      <w:marLeft w:val="0"/>
      <w:marRight w:val="0"/>
      <w:marTop w:val="0"/>
      <w:marBottom w:val="0"/>
      <w:divBdr>
        <w:top w:val="none" w:sz="0" w:space="0" w:color="auto"/>
        <w:left w:val="none" w:sz="0" w:space="0" w:color="auto"/>
        <w:bottom w:val="none" w:sz="0" w:space="0" w:color="auto"/>
        <w:right w:val="none" w:sz="0" w:space="0" w:color="auto"/>
      </w:divBdr>
    </w:div>
    <w:div w:id="1063720135">
      <w:bodyDiv w:val="1"/>
      <w:marLeft w:val="0"/>
      <w:marRight w:val="0"/>
      <w:marTop w:val="0"/>
      <w:marBottom w:val="0"/>
      <w:divBdr>
        <w:top w:val="none" w:sz="0" w:space="0" w:color="auto"/>
        <w:left w:val="none" w:sz="0" w:space="0" w:color="auto"/>
        <w:bottom w:val="none" w:sz="0" w:space="0" w:color="auto"/>
        <w:right w:val="none" w:sz="0" w:space="0" w:color="auto"/>
      </w:divBdr>
    </w:div>
    <w:div w:id="1068264706">
      <w:bodyDiv w:val="1"/>
      <w:marLeft w:val="0"/>
      <w:marRight w:val="0"/>
      <w:marTop w:val="0"/>
      <w:marBottom w:val="0"/>
      <w:divBdr>
        <w:top w:val="none" w:sz="0" w:space="0" w:color="auto"/>
        <w:left w:val="none" w:sz="0" w:space="0" w:color="auto"/>
        <w:bottom w:val="none" w:sz="0" w:space="0" w:color="auto"/>
        <w:right w:val="none" w:sz="0" w:space="0" w:color="auto"/>
      </w:divBdr>
    </w:div>
    <w:div w:id="1072194776">
      <w:bodyDiv w:val="1"/>
      <w:marLeft w:val="0"/>
      <w:marRight w:val="0"/>
      <w:marTop w:val="0"/>
      <w:marBottom w:val="0"/>
      <w:divBdr>
        <w:top w:val="none" w:sz="0" w:space="0" w:color="auto"/>
        <w:left w:val="none" w:sz="0" w:space="0" w:color="auto"/>
        <w:bottom w:val="none" w:sz="0" w:space="0" w:color="auto"/>
        <w:right w:val="none" w:sz="0" w:space="0" w:color="auto"/>
      </w:divBdr>
    </w:div>
    <w:div w:id="1078819477">
      <w:bodyDiv w:val="1"/>
      <w:marLeft w:val="0"/>
      <w:marRight w:val="0"/>
      <w:marTop w:val="0"/>
      <w:marBottom w:val="0"/>
      <w:divBdr>
        <w:top w:val="none" w:sz="0" w:space="0" w:color="auto"/>
        <w:left w:val="none" w:sz="0" w:space="0" w:color="auto"/>
        <w:bottom w:val="none" w:sz="0" w:space="0" w:color="auto"/>
        <w:right w:val="none" w:sz="0" w:space="0" w:color="auto"/>
      </w:divBdr>
    </w:div>
    <w:div w:id="1087845700">
      <w:bodyDiv w:val="1"/>
      <w:marLeft w:val="0"/>
      <w:marRight w:val="0"/>
      <w:marTop w:val="0"/>
      <w:marBottom w:val="0"/>
      <w:divBdr>
        <w:top w:val="none" w:sz="0" w:space="0" w:color="auto"/>
        <w:left w:val="none" w:sz="0" w:space="0" w:color="auto"/>
        <w:bottom w:val="none" w:sz="0" w:space="0" w:color="auto"/>
        <w:right w:val="none" w:sz="0" w:space="0" w:color="auto"/>
      </w:divBdr>
    </w:div>
    <w:div w:id="1096512600">
      <w:bodyDiv w:val="1"/>
      <w:marLeft w:val="0"/>
      <w:marRight w:val="0"/>
      <w:marTop w:val="0"/>
      <w:marBottom w:val="0"/>
      <w:divBdr>
        <w:top w:val="none" w:sz="0" w:space="0" w:color="auto"/>
        <w:left w:val="none" w:sz="0" w:space="0" w:color="auto"/>
        <w:bottom w:val="none" w:sz="0" w:space="0" w:color="auto"/>
        <w:right w:val="none" w:sz="0" w:space="0" w:color="auto"/>
      </w:divBdr>
    </w:div>
    <w:div w:id="1099566793">
      <w:bodyDiv w:val="1"/>
      <w:marLeft w:val="0"/>
      <w:marRight w:val="0"/>
      <w:marTop w:val="0"/>
      <w:marBottom w:val="0"/>
      <w:divBdr>
        <w:top w:val="none" w:sz="0" w:space="0" w:color="auto"/>
        <w:left w:val="none" w:sz="0" w:space="0" w:color="auto"/>
        <w:bottom w:val="none" w:sz="0" w:space="0" w:color="auto"/>
        <w:right w:val="none" w:sz="0" w:space="0" w:color="auto"/>
      </w:divBdr>
    </w:div>
    <w:div w:id="1100108198">
      <w:bodyDiv w:val="1"/>
      <w:marLeft w:val="0"/>
      <w:marRight w:val="0"/>
      <w:marTop w:val="0"/>
      <w:marBottom w:val="0"/>
      <w:divBdr>
        <w:top w:val="none" w:sz="0" w:space="0" w:color="auto"/>
        <w:left w:val="none" w:sz="0" w:space="0" w:color="auto"/>
        <w:bottom w:val="none" w:sz="0" w:space="0" w:color="auto"/>
        <w:right w:val="none" w:sz="0" w:space="0" w:color="auto"/>
      </w:divBdr>
    </w:div>
    <w:div w:id="1107894006">
      <w:bodyDiv w:val="1"/>
      <w:marLeft w:val="0"/>
      <w:marRight w:val="0"/>
      <w:marTop w:val="0"/>
      <w:marBottom w:val="0"/>
      <w:divBdr>
        <w:top w:val="none" w:sz="0" w:space="0" w:color="auto"/>
        <w:left w:val="none" w:sz="0" w:space="0" w:color="auto"/>
        <w:bottom w:val="none" w:sz="0" w:space="0" w:color="auto"/>
        <w:right w:val="none" w:sz="0" w:space="0" w:color="auto"/>
      </w:divBdr>
    </w:div>
    <w:div w:id="1109353407">
      <w:bodyDiv w:val="1"/>
      <w:marLeft w:val="0"/>
      <w:marRight w:val="0"/>
      <w:marTop w:val="0"/>
      <w:marBottom w:val="0"/>
      <w:divBdr>
        <w:top w:val="none" w:sz="0" w:space="0" w:color="auto"/>
        <w:left w:val="none" w:sz="0" w:space="0" w:color="auto"/>
        <w:bottom w:val="none" w:sz="0" w:space="0" w:color="auto"/>
        <w:right w:val="none" w:sz="0" w:space="0" w:color="auto"/>
      </w:divBdr>
      <w:divsChild>
        <w:div w:id="1901163536">
          <w:marLeft w:val="0"/>
          <w:marRight w:val="0"/>
          <w:marTop w:val="0"/>
          <w:marBottom w:val="0"/>
          <w:divBdr>
            <w:top w:val="none" w:sz="0" w:space="0" w:color="auto"/>
            <w:left w:val="none" w:sz="0" w:space="0" w:color="auto"/>
            <w:bottom w:val="none" w:sz="0" w:space="0" w:color="auto"/>
            <w:right w:val="none" w:sz="0" w:space="0" w:color="auto"/>
          </w:divBdr>
        </w:div>
      </w:divsChild>
    </w:div>
    <w:div w:id="1112817807">
      <w:bodyDiv w:val="1"/>
      <w:marLeft w:val="0"/>
      <w:marRight w:val="0"/>
      <w:marTop w:val="0"/>
      <w:marBottom w:val="0"/>
      <w:divBdr>
        <w:top w:val="none" w:sz="0" w:space="0" w:color="auto"/>
        <w:left w:val="none" w:sz="0" w:space="0" w:color="auto"/>
        <w:bottom w:val="none" w:sz="0" w:space="0" w:color="auto"/>
        <w:right w:val="none" w:sz="0" w:space="0" w:color="auto"/>
      </w:divBdr>
    </w:div>
    <w:div w:id="1117720298">
      <w:bodyDiv w:val="1"/>
      <w:marLeft w:val="0"/>
      <w:marRight w:val="0"/>
      <w:marTop w:val="0"/>
      <w:marBottom w:val="0"/>
      <w:divBdr>
        <w:top w:val="none" w:sz="0" w:space="0" w:color="auto"/>
        <w:left w:val="none" w:sz="0" w:space="0" w:color="auto"/>
        <w:bottom w:val="none" w:sz="0" w:space="0" w:color="auto"/>
        <w:right w:val="none" w:sz="0" w:space="0" w:color="auto"/>
      </w:divBdr>
    </w:div>
    <w:div w:id="1122773294">
      <w:bodyDiv w:val="1"/>
      <w:marLeft w:val="0"/>
      <w:marRight w:val="0"/>
      <w:marTop w:val="0"/>
      <w:marBottom w:val="0"/>
      <w:divBdr>
        <w:top w:val="none" w:sz="0" w:space="0" w:color="auto"/>
        <w:left w:val="none" w:sz="0" w:space="0" w:color="auto"/>
        <w:bottom w:val="none" w:sz="0" w:space="0" w:color="auto"/>
        <w:right w:val="none" w:sz="0" w:space="0" w:color="auto"/>
      </w:divBdr>
    </w:div>
    <w:div w:id="1123964840">
      <w:bodyDiv w:val="1"/>
      <w:marLeft w:val="0"/>
      <w:marRight w:val="0"/>
      <w:marTop w:val="0"/>
      <w:marBottom w:val="0"/>
      <w:divBdr>
        <w:top w:val="none" w:sz="0" w:space="0" w:color="auto"/>
        <w:left w:val="none" w:sz="0" w:space="0" w:color="auto"/>
        <w:bottom w:val="none" w:sz="0" w:space="0" w:color="auto"/>
        <w:right w:val="none" w:sz="0" w:space="0" w:color="auto"/>
      </w:divBdr>
    </w:div>
    <w:div w:id="1130898801">
      <w:bodyDiv w:val="1"/>
      <w:marLeft w:val="0"/>
      <w:marRight w:val="0"/>
      <w:marTop w:val="0"/>
      <w:marBottom w:val="0"/>
      <w:divBdr>
        <w:top w:val="none" w:sz="0" w:space="0" w:color="auto"/>
        <w:left w:val="none" w:sz="0" w:space="0" w:color="auto"/>
        <w:bottom w:val="none" w:sz="0" w:space="0" w:color="auto"/>
        <w:right w:val="none" w:sz="0" w:space="0" w:color="auto"/>
      </w:divBdr>
    </w:div>
    <w:div w:id="1142230255">
      <w:bodyDiv w:val="1"/>
      <w:marLeft w:val="0"/>
      <w:marRight w:val="0"/>
      <w:marTop w:val="0"/>
      <w:marBottom w:val="0"/>
      <w:divBdr>
        <w:top w:val="none" w:sz="0" w:space="0" w:color="auto"/>
        <w:left w:val="none" w:sz="0" w:space="0" w:color="auto"/>
        <w:bottom w:val="none" w:sz="0" w:space="0" w:color="auto"/>
        <w:right w:val="none" w:sz="0" w:space="0" w:color="auto"/>
      </w:divBdr>
    </w:div>
    <w:div w:id="1142767929">
      <w:bodyDiv w:val="1"/>
      <w:marLeft w:val="0"/>
      <w:marRight w:val="0"/>
      <w:marTop w:val="0"/>
      <w:marBottom w:val="0"/>
      <w:divBdr>
        <w:top w:val="none" w:sz="0" w:space="0" w:color="auto"/>
        <w:left w:val="none" w:sz="0" w:space="0" w:color="auto"/>
        <w:bottom w:val="none" w:sz="0" w:space="0" w:color="auto"/>
        <w:right w:val="none" w:sz="0" w:space="0" w:color="auto"/>
      </w:divBdr>
    </w:div>
    <w:div w:id="1151404156">
      <w:bodyDiv w:val="1"/>
      <w:marLeft w:val="0"/>
      <w:marRight w:val="0"/>
      <w:marTop w:val="0"/>
      <w:marBottom w:val="0"/>
      <w:divBdr>
        <w:top w:val="none" w:sz="0" w:space="0" w:color="auto"/>
        <w:left w:val="none" w:sz="0" w:space="0" w:color="auto"/>
        <w:bottom w:val="none" w:sz="0" w:space="0" w:color="auto"/>
        <w:right w:val="none" w:sz="0" w:space="0" w:color="auto"/>
      </w:divBdr>
    </w:div>
    <w:div w:id="1165170684">
      <w:bodyDiv w:val="1"/>
      <w:marLeft w:val="0"/>
      <w:marRight w:val="0"/>
      <w:marTop w:val="0"/>
      <w:marBottom w:val="0"/>
      <w:divBdr>
        <w:top w:val="none" w:sz="0" w:space="0" w:color="auto"/>
        <w:left w:val="none" w:sz="0" w:space="0" w:color="auto"/>
        <w:bottom w:val="none" w:sz="0" w:space="0" w:color="auto"/>
        <w:right w:val="none" w:sz="0" w:space="0" w:color="auto"/>
      </w:divBdr>
    </w:div>
    <w:div w:id="1166557683">
      <w:bodyDiv w:val="1"/>
      <w:marLeft w:val="0"/>
      <w:marRight w:val="0"/>
      <w:marTop w:val="0"/>
      <w:marBottom w:val="0"/>
      <w:divBdr>
        <w:top w:val="none" w:sz="0" w:space="0" w:color="auto"/>
        <w:left w:val="none" w:sz="0" w:space="0" w:color="auto"/>
        <w:bottom w:val="none" w:sz="0" w:space="0" w:color="auto"/>
        <w:right w:val="none" w:sz="0" w:space="0" w:color="auto"/>
      </w:divBdr>
    </w:div>
    <w:div w:id="1176925050">
      <w:bodyDiv w:val="1"/>
      <w:marLeft w:val="0"/>
      <w:marRight w:val="0"/>
      <w:marTop w:val="0"/>
      <w:marBottom w:val="0"/>
      <w:divBdr>
        <w:top w:val="none" w:sz="0" w:space="0" w:color="auto"/>
        <w:left w:val="none" w:sz="0" w:space="0" w:color="auto"/>
        <w:bottom w:val="none" w:sz="0" w:space="0" w:color="auto"/>
        <w:right w:val="none" w:sz="0" w:space="0" w:color="auto"/>
      </w:divBdr>
    </w:div>
    <w:div w:id="1179537407">
      <w:bodyDiv w:val="1"/>
      <w:marLeft w:val="0"/>
      <w:marRight w:val="0"/>
      <w:marTop w:val="0"/>
      <w:marBottom w:val="0"/>
      <w:divBdr>
        <w:top w:val="none" w:sz="0" w:space="0" w:color="auto"/>
        <w:left w:val="none" w:sz="0" w:space="0" w:color="auto"/>
        <w:bottom w:val="none" w:sz="0" w:space="0" w:color="auto"/>
        <w:right w:val="none" w:sz="0" w:space="0" w:color="auto"/>
      </w:divBdr>
    </w:div>
    <w:div w:id="1183743000">
      <w:bodyDiv w:val="1"/>
      <w:marLeft w:val="0"/>
      <w:marRight w:val="0"/>
      <w:marTop w:val="0"/>
      <w:marBottom w:val="0"/>
      <w:divBdr>
        <w:top w:val="none" w:sz="0" w:space="0" w:color="auto"/>
        <w:left w:val="none" w:sz="0" w:space="0" w:color="auto"/>
        <w:bottom w:val="none" w:sz="0" w:space="0" w:color="auto"/>
        <w:right w:val="none" w:sz="0" w:space="0" w:color="auto"/>
      </w:divBdr>
    </w:div>
    <w:div w:id="1187795362">
      <w:bodyDiv w:val="1"/>
      <w:marLeft w:val="0"/>
      <w:marRight w:val="0"/>
      <w:marTop w:val="0"/>
      <w:marBottom w:val="0"/>
      <w:divBdr>
        <w:top w:val="none" w:sz="0" w:space="0" w:color="auto"/>
        <w:left w:val="none" w:sz="0" w:space="0" w:color="auto"/>
        <w:bottom w:val="none" w:sz="0" w:space="0" w:color="auto"/>
        <w:right w:val="none" w:sz="0" w:space="0" w:color="auto"/>
      </w:divBdr>
    </w:div>
    <w:div w:id="1191066111">
      <w:bodyDiv w:val="1"/>
      <w:marLeft w:val="0"/>
      <w:marRight w:val="0"/>
      <w:marTop w:val="0"/>
      <w:marBottom w:val="0"/>
      <w:divBdr>
        <w:top w:val="none" w:sz="0" w:space="0" w:color="auto"/>
        <w:left w:val="none" w:sz="0" w:space="0" w:color="auto"/>
        <w:bottom w:val="none" w:sz="0" w:space="0" w:color="auto"/>
        <w:right w:val="none" w:sz="0" w:space="0" w:color="auto"/>
      </w:divBdr>
    </w:div>
    <w:div w:id="1195117236">
      <w:bodyDiv w:val="1"/>
      <w:marLeft w:val="0"/>
      <w:marRight w:val="0"/>
      <w:marTop w:val="0"/>
      <w:marBottom w:val="0"/>
      <w:divBdr>
        <w:top w:val="none" w:sz="0" w:space="0" w:color="auto"/>
        <w:left w:val="none" w:sz="0" w:space="0" w:color="auto"/>
        <w:bottom w:val="none" w:sz="0" w:space="0" w:color="auto"/>
        <w:right w:val="none" w:sz="0" w:space="0" w:color="auto"/>
      </w:divBdr>
      <w:divsChild>
        <w:div w:id="1101607444">
          <w:marLeft w:val="0"/>
          <w:marRight w:val="0"/>
          <w:marTop w:val="0"/>
          <w:marBottom w:val="0"/>
          <w:divBdr>
            <w:top w:val="none" w:sz="0" w:space="0" w:color="auto"/>
            <w:left w:val="none" w:sz="0" w:space="0" w:color="auto"/>
            <w:bottom w:val="none" w:sz="0" w:space="0" w:color="auto"/>
            <w:right w:val="none" w:sz="0" w:space="0" w:color="auto"/>
          </w:divBdr>
        </w:div>
      </w:divsChild>
    </w:div>
    <w:div w:id="1209151378">
      <w:bodyDiv w:val="1"/>
      <w:marLeft w:val="0"/>
      <w:marRight w:val="0"/>
      <w:marTop w:val="0"/>
      <w:marBottom w:val="0"/>
      <w:divBdr>
        <w:top w:val="none" w:sz="0" w:space="0" w:color="auto"/>
        <w:left w:val="none" w:sz="0" w:space="0" w:color="auto"/>
        <w:bottom w:val="none" w:sz="0" w:space="0" w:color="auto"/>
        <w:right w:val="none" w:sz="0" w:space="0" w:color="auto"/>
      </w:divBdr>
    </w:div>
    <w:div w:id="1215654829">
      <w:bodyDiv w:val="1"/>
      <w:marLeft w:val="0"/>
      <w:marRight w:val="0"/>
      <w:marTop w:val="0"/>
      <w:marBottom w:val="0"/>
      <w:divBdr>
        <w:top w:val="none" w:sz="0" w:space="0" w:color="auto"/>
        <w:left w:val="none" w:sz="0" w:space="0" w:color="auto"/>
        <w:bottom w:val="none" w:sz="0" w:space="0" w:color="auto"/>
        <w:right w:val="none" w:sz="0" w:space="0" w:color="auto"/>
      </w:divBdr>
    </w:div>
    <w:div w:id="1215779227">
      <w:bodyDiv w:val="1"/>
      <w:marLeft w:val="0"/>
      <w:marRight w:val="0"/>
      <w:marTop w:val="0"/>
      <w:marBottom w:val="0"/>
      <w:divBdr>
        <w:top w:val="none" w:sz="0" w:space="0" w:color="auto"/>
        <w:left w:val="none" w:sz="0" w:space="0" w:color="auto"/>
        <w:bottom w:val="none" w:sz="0" w:space="0" w:color="auto"/>
        <w:right w:val="none" w:sz="0" w:space="0" w:color="auto"/>
      </w:divBdr>
    </w:div>
    <w:div w:id="1220172494">
      <w:bodyDiv w:val="1"/>
      <w:marLeft w:val="0"/>
      <w:marRight w:val="0"/>
      <w:marTop w:val="0"/>
      <w:marBottom w:val="0"/>
      <w:divBdr>
        <w:top w:val="none" w:sz="0" w:space="0" w:color="auto"/>
        <w:left w:val="none" w:sz="0" w:space="0" w:color="auto"/>
        <w:bottom w:val="none" w:sz="0" w:space="0" w:color="auto"/>
        <w:right w:val="none" w:sz="0" w:space="0" w:color="auto"/>
      </w:divBdr>
    </w:div>
    <w:div w:id="1221091907">
      <w:bodyDiv w:val="1"/>
      <w:marLeft w:val="0"/>
      <w:marRight w:val="0"/>
      <w:marTop w:val="0"/>
      <w:marBottom w:val="0"/>
      <w:divBdr>
        <w:top w:val="none" w:sz="0" w:space="0" w:color="auto"/>
        <w:left w:val="none" w:sz="0" w:space="0" w:color="auto"/>
        <w:bottom w:val="none" w:sz="0" w:space="0" w:color="auto"/>
        <w:right w:val="none" w:sz="0" w:space="0" w:color="auto"/>
      </w:divBdr>
    </w:div>
    <w:div w:id="1222473710">
      <w:bodyDiv w:val="1"/>
      <w:marLeft w:val="0"/>
      <w:marRight w:val="0"/>
      <w:marTop w:val="0"/>
      <w:marBottom w:val="0"/>
      <w:divBdr>
        <w:top w:val="none" w:sz="0" w:space="0" w:color="auto"/>
        <w:left w:val="none" w:sz="0" w:space="0" w:color="auto"/>
        <w:bottom w:val="none" w:sz="0" w:space="0" w:color="auto"/>
        <w:right w:val="none" w:sz="0" w:space="0" w:color="auto"/>
      </w:divBdr>
    </w:div>
    <w:div w:id="1236434393">
      <w:bodyDiv w:val="1"/>
      <w:marLeft w:val="0"/>
      <w:marRight w:val="0"/>
      <w:marTop w:val="0"/>
      <w:marBottom w:val="0"/>
      <w:divBdr>
        <w:top w:val="none" w:sz="0" w:space="0" w:color="auto"/>
        <w:left w:val="none" w:sz="0" w:space="0" w:color="auto"/>
        <w:bottom w:val="none" w:sz="0" w:space="0" w:color="auto"/>
        <w:right w:val="none" w:sz="0" w:space="0" w:color="auto"/>
      </w:divBdr>
    </w:div>
    <w:div w:id="1240752269">
      <w:bodyDiv w:val="1"/>
      <w:marLeft w:val="0"/>
      <w:marRight w:val="0"/>
      <w:marTop w:val="0"/>
      <w:marBottom w:val="0"/>
      <w:divBdr>
        <w:top w:val="none" w:sz="0" w:space="0" w:color="auto"/>
        <w:left w:val="none" w:sz="0" w:space="0" w:color="auto"/>
        <w:bottom w:val="none" w:sz="0" w:space="0" w:color="auto"/>
        <w:right w:val="none" w:sz="0" w:space="0" w:color="auto"/>
      </w:divBdr>
    </w:div>
    <w:div w:id="1242562943">
      <w:bodyDiv w:val="1"/>
      <w:marLeft w:val="0"/>
      <w:marRight w:val="0"/>
      <w:marTop w:val="0"/>
      <w:marBottom w:val="0"/>
      <w:divBdr>
        <w:top w:val="none" w:sz="0" w:space="0" w:color="auto"/>
        <w:left w:val="none" w:sz="0" w:space="0" w:color="auto"/>
        <w:bottom w:val="none" w:sz="0" w:space="0" w:color="auto"/>
        <w:right w:val="none" w:sz="0" w:space="0" w:color="auto"/>
      </w:divBdr>
    </w:div>
    <w:div w:id="1246307147">
      <w:bodyDiv w:val="1"/>
      <w:marLeft w:val="0"/>
      <w:marRight w:val="0"/>
      <w:marTop w:val="0"/>
      <w:marBottom w:val="0"/>
      <w:divBdr>
        <w:top w:val="none" w:sz="0" w:space="0" w:color="auto"/>
        <w:left w:val="none" w:sz="0" w:space="0" w:color="auto"/>
        <w:bottom w:val="none" w:sz="0" w:space="0" w:color="auto"/>
        <w:right w:val="none" w:sz="0" w:space="0" w:color="auto"/>
      </w:divBdr>
    </w:div>
    <w:div w:id="1248612591">
      <w:bodyDiv w:val="1"/>
      <w:marLeft w:val="0"/>
      <w:marRight w:val="0"/>
      <w:marTop w:val="0"/>
      <w:marBottom w:val="0"/>
      <w:divBdr>
        <w:top w:val="none" w:sz="0" w:space="0" w:color="auto"/>
        <w:left w:val="none" w:sz="0" w:space="0" w:color="auto"/>
        <w:bottom w:val="none" w:sz="0" w:space="0" w:color="auto"/>
        <w:right w:val="none" w:sz="0" w:space="0" w:color="auto"/>
      </w:divBdr>
    </w:div>
    <w:div w:id="1249000839">
      <w:bodyDiv w:val="1"/>
      <w:marLeft w:val="0"/>
      <w:marRight w:val="0"/>
      <w:marTop w:val="0"/>
      <w:marBottom w:val="0"/>
      <w:divBdr>
        <w:top w:val="none" w:sz="0" w:space="0" w:color="auto"/>
        <w:left w:val="none" w:sz="0" w:space="0" w:color="auto"/>
        <w:bottom w:val="none" w:sz="0" w:space="0" w:color="auto"/>
        <w:right w:val="none" w:sz="0" w:space="0" w:color="auto"/>
      </w:divBdr>
    </w:div>
    <w:div w:id="1268850865">
      <w:bodyDiv w:val="1"/>
      <w:marLeft w:val="0"/>
      <w:marRight w:val="0"/>
      <w:marTop w:val="0"/>
      <w:marBottom w:val="0"/>
      <w:divBdr>
        <w:top w:val="none" w:sz="0" w:space="0" w:color="auto"/>
        <w:left w:val="none" w:sz="0" w:space="0" w:color="auto"/>
        <w:bottom w:val="none" w:sz="0" w:space="0" w:color="auto"/>
        <w:right w:val="none" w:sz="0" w:space="0" w:color="auto"/>
      </w:divBdr>
    </w:div>
    <w:div w:id="1268931765">
      <w:bodyDiv w:val="1"/>
      <w:marLeft w:val="0"/>
      <w:marRight w:val="0"/>
      <w:marTop w:val="0"/>
      <w:marBottom w:val="0"/>
      <w:divBdr>
        <w:top w:val="none" w:sz="0" w:space="0" w:color="auto"/>
        <w:left w:val="none" w:sz="0" w:space="0" w:color="auto"/>
        <w:bottom w:val="none" w:sz="0" w:space="0" w:color="auto"/>
        <w:right w:val="none" w:sz="0" w:space="0" w:color="auto"/>
      </w:divBdr>
    </w:div>
    <w:div w:id="1279145672">
      <w:bodyDiv w:val="1"/>
      <w:marLeft w:val="0"/>
      <w:marRight w:val="0"/>
      <w:marTop w:val="0"/>
      <w:marBottom w:val="0"/>
      <w:divBdr>
        <w:top w:val="none" w:sz="0" w:space="0" w:color="auto"/>
        <w:left w:val="none" w:sz="0" w:space="0" w:color="auto"/>
        <w:bottom w:val="none" w:sz="0" w:space="0" w:color="auto"/>
        <w:right w:val="none" w:sz="0" w:space="0" w:color="auto"/>
      </w:divBdr>
    </w:div>
    <w:div w:id="1288658510">
      <w:bodyDiv w:val="1"/>
      <w:marLeft w:val="0"/>
      <w:marRight w:val="0"/>
      <w:marTop w:val="0"/>
      <w:marBottom w:val="0"/>
      <w:divBdr>
        <w:top w:val="none" w:sz="0" w:space="0" w:color="auto"/>
        <w:left w:val="none" w:sz="0" w:space="0" w:color="auto"/>
        <w:bottom w:val="none" w:sz="0" w:space="0" w:color="auto"/>
        <w:right w:val="none" w:sz="0" w:space="0" w:color="auto"/>
      </w:divBdr>
    </w:div>
    <w:div w:id="1291085146">
      <w:bodyDiv w:val="1"/>
      <w:marLeft w:val="0"/>
      <w:marRight w:val="0"/>
      <w:marTop w:val="0"/>
      <w:marBottom w:val="0"/>
      <w:divBdr>
        <w:top w:val="none" w:sz="0" w:space="0" w:color="auto"/>
        <w:left w:val="none" w:sz="0" w:space="0" w:color="auto"/>
        <w:bottom w:val="none" w:sz="0" w:space="0" w:color="auto"/>
        <w:right w:val="none" w:sz="0" w:space="0" w:color="auto"/>
      </w:divBdr>
    </w:div>
    <w:div w:id="1308630497">
      <w:bodyDiv w:val="1"/>
      <w:marLeft w:val="0"/>
      <w:marRight w:val="0"/>
      <w:marTop w:val="0"/>
      <w:marBottom w:val="0"/>
      <w:divBdr>
        <w:top w:val="none" w:sz="0" w:space="0" w:color="auto"/>
        <w:left w:val="none" w:sz="0" w:space="0" w:color="auto"/>
        <w:bottom w:val="none" w:sz="0" w:space="0" w:color="auto"/>
        <w:right w:val="none" w:sz="0" w:space="0" w:color="auto"/>
      </w:divBdr>
    </w:div>
    <w:div w:id="1309747634">
      <w:bodyDiv w:val="1"/>
      <w:marLeft w:val="0"/>
      <w:marRight w:val="0"/>
      <w:marTop w:val="0"/>
      <w:marBottom w:val="0"/>
      <w:divBdr>
        <w:top w:val="none" w:sz="0" w:space="0" w:color="auto"/>
        <w:left w:val="none" w:sz="0" w:space="0" w:color="auto"/>
        <w:bottom w:val="none" w:sz="0" w:space="0" w:color="auto"/>
        <w:right w:val="none" w:sz="0" w:space="0" w:color="auto"/>
      </w:divBdr>
    </w:div>
    <w:div w:id="1313220806">
      <w:bodyDiv w:val="1"/>
      <w:marLeft w:val="0"/>
      <w:marRight w:val="0"/>
      <w:marTop w:val="0"/>
      <w:marBottom w:val="0"/>
      <w:divBdr>
        <w:top w:val="none" w:sz="0" w:space="0" w:color="auto"/>
        <w:left w:val="none" w:sz="0" w:space="0" w:color="auto"/>
        <w:bottom w:val="none" w:sz="0" w:space="0" w:color="auto"/>
        <w:right w:val="none" w:sz="0" w:space="0" w:color="auto"/>
      </w:divBdr>
    </w:div>
    <w:div w:id="1317607960">
      <w:bodyDiv w:val="1"/>
      <w:marLeft w:val="0"/>
      <w:marRight w:val="0"/>
      <w:marTop w:val="0"/>
      <w:marBottom w:val="0"/>
      <w:divBdr>
        <w:top w:val="none" w:sz="0" w:space="0" w:color="auto"/>
        <w:left w:val="none" w:sz="0" w:space="0" w:color="auto"/>
        <w:bottom w:val="none" w:sz="0" w:space="0" w:color="auto"/>
        <w:right w:val="none" w:sz="0" w:space="0" w:color="auto"/>
      </w:divBdr>
    </w:div>
    <w:div w:id="1325354760">
      <w:bodyDiv w:val="1"/>
      <w:marLeft w:val="0"/>
      <w:marRight w:val="0"/>
      <w:marTop w:val="0"/>
      <w:marBottom w:val="0"/>
      <w:divBdr>
        <w:top w:val="none" w:sz="0" w:space="0" w:color="auto"/>
        <w:left w:val="none" w:sz="0" w:space="0" w:color="auto"/>
        <w:bottom w:val="none" w:sz="0" w:space="0" w:color="auto"/>
        <w:right w:val="none" w:sz="0" w:space="0" w:color="auto"/>
      </w:divBdr>
    </w:div>
    <w:div w:id="1326398214">
      <w:bodyDiv w:val="1"/>
      <w:marLeft w:val="0"/>
      <w:marRight w:val="0"/>
      <w:marTop w:val="0"/>
      <w:marBottom w:val="0"/>
      <w:divBdr>
        <w:top w:val="none" w:sz="0" w:space="0" w:color="auto"/>
        <w:left w:val="none" w:sz="0" w:space="0" w:color="auto"/>
        <w:bottom w:val="none" w:sz="0" w:space="0" w:color="auto"/>
        <w:right w:val="none" w:sz="0" w:space="0" w:color="auto"/>
      </w:divBdr>
    </w:div>
    <w:div w:id="1339767887">
      <w:bodyDiv w:val="1"/>
      <w:marLeft w:val="0"/>
      <w:marRight w:val="0"/>
      <w:marTop w:val="0"/>
      <w:marBottom w:val="0"/>
      <w:divBdr>
        <w:top w:val="none" w:sz="0" w:space="0" w:color="auto"/>
        <w:left w:val="none" w:sz="0" w:space="0" w:color="auto"/>
        <w:bottom w:val="none" w:sz="0" w:space="0" w:color="auto"/>
        <w:right w:val="none" w:sz="0" w:space="0" w:color="auto"/>
      </w:divBdr>
    </w:div>
    <w:div w:id="1348753515">
      <w:bodyDiv w:val="1"/>
      <w:marLeft w:val="0"/>
      <w:marRight w:val="0"/>
      <w:marTop w:val="0"/>
      <w:marBottom w:val="0"/>
      <w:divBdr>
        <w:top w:val="none" w:sz="0" w:space="0" w:color="auto"/>
        <w:left w:val="none" w:sz="0" w:space="0" w:color="auto"/>
        <w:bottom w:val="none" w:sz="0" w:space="0" w:color="auto"/>
        <w:right w:val="none" w:sz="0" w:space="0" w:color="auto"/>
      </w:divBdr>
    </w:div>
    <w:div w:id="1351948459">
      <w:bodyDiv w:val="1"/>
      <w:marLeft w:val="0"/>
      <w:marRight w:val="0"/>
      <w:marTop w:val="0"/>
      <w:marBottom w:val="0"/>
      <w:divBdr>
        <w:top w:val="none" w:sz="0" w:space="0" w:color="auto"/>
        <w:left w:val="none" w:sz="0" w:space="0" w:color="auto"/>
        <w:bottom w:val="none" w:sz="0" w:space="0" w:color="auto"/>
        <w:right w:val="none" w:sz="0" w:space="0" w:color="auto"/>
      </w:divBdr>
    </w:div>
    <w:div w:id="1359816077">
      <w:bodyDiv w:val="1"/>
      <w:marLeft w:val="0"/>
      <w:marRight w:val="0"/>
      <w:marTop w:val="0"/>
      <w:marBottom w:val="0"/>
      <w:divBdr>
        <w:top w:val="none" w:sz="0" w:space="0" w:color="auto"/>
        <w:left w:val="none" w:sz="0" w:space="0" w:color="auto"/>
        <w:bottom w:val="none" w:sz="0" w:space="0" w:color="auto"/>
        <w:right w:val="none" w:sz="0" w:space="0" w:color="auto"/>
      </w:divBdr>
    </w:div>
    <w:div w:id="1362703665">
      <w:bodyDiv w:val="1"/>
      <w:marLeft w:val="0"/>
      <w:marRight w:val="0"/>
      <w:marTop w:val="0"/>
      <w:marBottom w:val="0"/>
      <w:divBdr>
        <w:top w:val="none" w:sz="0" w:space="0" w:color="auto"/>
        <w:left w:val="none" w:sz="0" w:space="0" w:color="auto"/>
        <w:bottom w:val="none" w:sz="0" w:space="0" w:color="auto"/>
        <w:right w:val="none" w:sz="0" w:space="0" w:color="auto"/>
      </w:divBdr>
    </w:div>
    <w:div w:id="1373460595">
      <w:bodyDiv w:val="1"/>
      <w:marLeft w:val="0"/>
      <w:marRight w:val="0"/>
      <w:marTop w:val="0"/>
      <w:marBottom w:val="0"/>
      <w:divBdr>
        <w:top w:val="none" w:sz="0" w:space="0" w:color="auto"/>
        <w:left w:val="none" w:sz="0" w:space="0" w:color="auto"/>
        <w:bottom w:val="none" w:sz="0" w:space="0" w:color="auto"/>
        <w:right w:val="none" w:sz="0" w:space="0" w:color="auto"/>
      </w:divBdr>
    </w:div>
    <w:div w:id="1379814497">
      <w:bodyDiv w:val="1"/>
      <w:marLeft w:val="0"/>
      <w:marRight w:val="0"/>
      <w:marTop w:val="0"/>
      <w:marBottom w:val="0"/>
      <w:divBdr>
        <w:top w:val="none" w:sz="0" w:space="0" w:color="auto"/>
        <w:left w:val="none" w:sz="0" w:space="0" w:color="auto"/>
        <w:bottom w:val="none" w:sz="0" w:space="0" w:color="auto"/>
        <w:right w:val="none" w:sz="0" w:space="0" w:color="auto"/>
      </w:divBdr>
    </w:div>
    <w:div w:id="1381704528">
      <w:bodyDiv w:val="1"/>
      <w:marLeft w:val="0"/>
      <w:marRight w:val="0"/>
      <w:marTop w:val="0"/>
      <w:marBottom w:val="0"/>
      <w:divBdr>
        <w:top w:val="none" w:sz="0" w:space="0" w:color="auto"/>
        <w:left w:val="none" w:sz="0" w:space="0" w:color="auto"/>
        <w:bottom w:val="none" w:sz="0" w:space="0" w:color="auto"/>
        <w:right w:val="none" w:sz="0" w:space="0" w:color="auto"/>
      </w:divBdr>
    </w:div>
    <w:div w:id="1382900499">
      <w:bodyDiv w:val="1"/>
      <w:marLeft w:val="0"/>
      <w:marRight w:val="0"/>
      <w:marTop w:val="0"/>
      <w:marBottom w:val="0"/>
      <w:divBdr>
        <w:top w:val="none" w:sz="0" w:space="0" w:color="auto"/>
        <w:left w:val="none" w:sz="0" w:space="0" w:color="auto"/>
        <w:bottom w:val="none" w:sz="0" w:space="0" w:color="auto"/>
        <w:right w:val="none" w:sz="0" w:space="0" w:color="auto"/>
      </w:divBdr>
    </w:div>
    <w:div w:id="1383553946">
      <w:bodyDiv w:val="1"/>
      <w:marLeft w:val="0"/>
      <w:marRight w:val="0"/>
      <w:marTop w:val="0"/>
      <w:marBottom w:val="0"/>
      <w:divBdr>
        <w:top w:val="none" w:sz="0" w:space="0" w:color="auto"/>
        <w:left w:val="none" w:sz="0" w:space="0" w:color="auto"/>
        <w:bottom w:val="none" w:sz="0" w:space="0" w:color="auto"/>
        <w:right w:val="none" w:sz="0" w:space="0" w:color="auto"/>
      </w:divBdr>
    </w:div>
    <w:div w:id="1386560315">
      <w:bodyDiv w:val="1"/>
      <w:marLeft w:val="0"/>
      <w:marRight w:val="0"/>
      <w:marTop w:val="0"/>
      <w:marBottom w:val="0"/>
      <w:divBdr>
        <w:top w:val="none" w:sz="0" w:space="0" w:color="auto"/>
        <w:left w:val="none" w:sz="0" w:space="0" w:color="auto"/>
        <w:bottom w:val="none" w:sz="0" w:space="0" w:color="auto"/>
        <w:right w:val="none" w:sz="0" w:space="0" w:color="auto"/>
      </w:divBdr>
      <w:divsChild>
        <w:div w:id="1532571777">
          <w:marLeft w:val="0"/>
          <w:marRight w:val="0"/>
          <w:marTop w:val="0"/>
          <w:marBottom w:val="0"/>
          <w:divBdr>
            <w:top w:val="none" w:sz="0" w:space="0" w:color="auto"/>
            <w:left w:val="none" w:sz="0" w:space="0" w:color="auto"/>
            <w:bottom w:val="none" w:sz="0" w:space="0" w:color="auto"/>
            <w:right w:val="none" w:sz="0" w:space="0" w:color="auto"/>
          </w:divBdr>
        </w:div>
      </w:divsChild>
    </w:div>
    <w:div w:id="1390808266">
      <w:bodyDiv w:val="1"/>
      <w:marLeft w:val="0"/>
      <w:marRight w:val="0"/>
      <w:marTop w:val="0"/>
      <w:marBottom w:val="0"/>
      <w:divBdr>
        <w:top w:val="none" w:sz="0" w:space="0" w:color="auto"/>
        <w:left w:val="none" w:sz="0" w:space="0" w:color="auto"/>
        <w:bottom w:val="none" w:sz="0" w:space="0" w:color="auto"/>
        <w:right w:val="none" w:sz="0" w:space="0" w:color="auto"/>
      </w:divBdr>
    </w:div>
    <w:div w:id="1395010119">
      <w:bodyDiv w:val="1"/>
      <w:marLeft w:val="0"/>
      <w:marRight w:val="0"/>
      <w:marTop w:val="0"/>
      <w:marBottom w:val="0"/>
      <w:divBdr>
        <w:top w:val="none" w:sz="0" w:space="0" w:color="auto"/>
        <w:left w:val="none" w:sz="0" w:space="0" w:color="auto"/>
        <w:bottom w:val="none" w:sz="0" w:space="0" w:color="auto"/>
        <w:right w:val="none" w:sz="0" w:space="0" w:color="auto"/>
      </w:divBdr>
    </w:div>
    <w:div w:id="1395425237">
      <w:bodyDiv w:val="1"/>
      <w:marLeft w:val="0"/>
      <w:marRight w:val="0"/>
      <w:marTop w:val="0"/>
      <w:marBottom w:val="0"/>
      <w:divBdr>
        <w:top w:val="none" w:sz="0" w:space="0" w:color="auto"/>
        <w:left w:val="none" w:sz="0" w:space="0" w:color="auto"/>
        <w:bottom w:val="none" w:sz="0" w:space="0" w:color="auto"/>
        <w:right w:val="none" w:sz="0" w:space="0" w:color="auto"/>
      </w:divBdr>
    </w:div>
    <w:div w:id="1396929009">
      <w:bodyDiv w:val="1"/>
      <w:marLeft w:val="0"/>
      <w:marRight w:val="0"/>
      <w:marTop w:val="0"/>
      <w:marBottom w:val="0"/>
      <w:divBdr>
        <w:top w:val="none" w:sz="0" w:space="0" w:color="auto"/>
        <w:left w:val="none" w:sz="0" w:space="0" w:color="auto"/>
        <w:bottom w:val="none" w:sz="0" w:space="0" w:color="auto"/>
        <w:right w:val="none" w:sz="0" w:space="0" w:color="auto"/>
      </w:divBdr>
    </w:div>
    <w:div w:id="1401370514">
      <w:bodyDiv w:val="1"/>
      <w:marLeft w:val="0"/>
      <w:marRight w:val="0"/>
      <w:marTop w:val="0"/>
      <w:marBottom w:val="0"/>
      <w:divBdr>
        <w:top w:val="none" w:sz="0" w:space="0" w:color="auto"/>
        <w:left w:val="none" w:sz="0" w:space="0" w:color="auto"/>
        <w:bottom w:val="none" w:sz="0" w:space="0" w:color="auto"/>
        <w:right w:val="none" w:sz="0" w:space="0" w:color="auto"/>
      </w:divBdr>
    </w:div>
    <w:div w:id="1403330092">
      <w:bodyDiv w:val="1"/>
      <w:marLeft w:val="0"/>
      <w:marRight w:val="0"/>
      <w:marTop w:val="0"/>
      <w:marBottom w:val="0"/>
      <w:divBdr>
        <w:top w:val="none" w:sz="0" w:space="0" w:color="auto"/>
        <w:left w:val="none" w:sz="0" w:space="0" w:color="auto"/>
        <w:bottom w:val="none" w:sz="0" w:space="0" w:color="auto"/>
        <w:right w:val="none" w:sz="0" w:space="0" w:color="auto"/>
      </w:divBdr>
      <w:divsChild>
        <w:div w:id="1361860366">
          <w:marLeft w:val="0"/>
          <w:marRight w:val="0"/>
          <w:marTop w:val="0"/>
          <w:marBottom w:val="0"/>
          <w:divBdr>
            <w:top w:val="none" w:sz="0" w:space="0" w:color="auto"/>
            <w:left w:val="none" w:sz="0" w:space="0" w:color="auto"/>
            <w:bottom w:val="none" w:sz="0" w:space="0" w:color="auto"/>
            <w:right w:val="none" w:sz="0" w:space="0" w:color="auto"/>
          </w:divBdr>
        </w:div>
      </w:divsChild>
    </w:div>
    <w:div w:id="1404791784">
      <w:bodyDiv w:val="1"/>
      <w:marLeft w:val="0"/>
      <w:marRight w:val="0"/>
      <w:marTop w:val="0"/>
      <w:marBottom w:val="0"/>
      <w:divBdr>
        <w:top w:val="none" w:sz="0" w:space="0" w:color="auto"/>
        <w:left w:val="none" w:sz="0" w:space="0" w:color="auto"/>
        <w:bottom w:val="none" w:sz="0" w:space="0" w:color="auto"/>
        <w:right w:val="none" w:sz="0" w:space="0" w:color="auto"/>
      </w:divBdr>
    </w:div>
    <w:div w:id="1408041092">
      <w:bodyDiv w:val="1"/>
      <w:marLeft w:val="0"/>
      <w:marRight w:val="0"/>
      <w:marTop w:val="0"/>
      <w:marBottom w:val="0"/>
      <w:divBdr>
        <w:top w:val="none" w:sz="0" w:space="0" w:color="auto"/>
        <w:left w:val="none" w:sz="0" w:space="0" w:color="auto"/>
        <w:bottom w:val="none" w:sz="0" w:space="0" w:color="auto"/>
        <w:right w:val="none" w:sz="0" w:space="0" w:color="auto"/>
      </w:divBdr>
    </w:div>
    <w:div w:id="1413817641">
      <w:bodyDiv w:val="1"/>
      <w:marLeft w:val="0"/>
      <w:marRight w:val="0"/>
      <w:marTop w:val="0"/>
      <w:marBottom w:val="0"/>
      <w:divBdr>
        <w:top w:val="none" w:sz="0" w:space="0" w:color="auto"/>
        <w:left w:val="none" w:sz="0" w:space="0" w:color="auto"/>
        <w:bottom w:val="none" w:sz="0" w:space="0" w:color="auto"/>
        <w:right w:val="none" w:sz="0" w:space="0" w:color="auto"/>
      </w:divBdr>
    </w:div>
    <w:div w:id="1414624299">
      <w:bodyDiv w:val="1"/>
      <w:marLeft w:val="0"/>
      <w:marRight w:val="0"/>
      <w:marTop w:val="0"/>
      <w:marBottom w:val="0"/>
      <w:divBdr>
        <w:top w:val="none" w:sz="0" w:space="0" w:color="auto"/>
        <w:left w:val="none" w:sz="0" w:space="0" w:color="auto"/>
        <w:bottom w:val="none" w:sz="0" w:space="0" w:color="auto"/>
        <w:right w:val="none" w:sz="0" w:space="0" w:color="auto"/>
      </w:divBdr>
    </w:div>
    <w:div w:id="1416778349">
      <w:bodyDiv w:val="1"/>
      <w:marLeft w:val="0"/>
      <w:marRight w:val="0"/>
      <w:marTop w:val="0"/>
      <w:marBottom w:val="0"/>
      <w:divBdr>
        <w:top w:val="none" w:sz="0" w:space="0" w:color="auto"/>
        <w:left w:val="none" w:sz="0" w:space="0" w:color="auto"/>
        <w:bottom w:val="none" w:sz="0" w:space="0" w:color="auto"/>
        <w:right w:val="none" w:sz="0" w:space="0" w:color="auto"/>
      </w:divBdr>
    </w:div>
    <w:div w:id="1421826846">
      <w:bodyDiv w:val="1"/>
      <w:marLeft w:val="0"/>
      <w:marRight w:val="0"/>
      <w:marTop w:val="0"/>
      <w:marBottom w:val="0"/>
      <w:divBdr>
        <w:top w:val="none" w:sz="0" w:space="0" w:color="auto"/>
        <w:left w:val="none" w:sz="0" w:space="0" w:color="auto"/>
        <w:bottom w:val="none" w:sz="0" w:space="0" w:color="auto"/>
        <w:right w:val="none" w:sz="0" w:space="0" w:color="auto"/>
      </w:divBdr>
    </w:div>
    <w:div w:id="1425030328">
      <w:bodyDiv w:val="1"/>
      <w:marLeft w:val="0"/>
      <w:marRight w:val="0"/>
      <w:marTop w:val="0"/>
      <w:marBottom w:val="0"/>
      <w:divBdr>
        <w:top w:val="none" w:sz="0" w:space="0" w:color="auto"/>
        <w:left w:val="none" w:sz="0" w:space="0" w:color="auto"/>
        <w:bottom w:val="none" w:sz="0" w:space="0" w:color="auto"/>
        <w:right w:val="none" w:sz="0" w:space="0" w:color="auto"/>
      </w:divBdr>
    </w:div>
    <w:div w:id="1437287532">
      <w:bodyDiv w:val="1"/>
      <w:marLeft w:val="0"/>
      <w:marRight w:val="0"/>
      <w:marTop w:val="0"/>
      <w:marBottom w:val="0"/>
      <w:divBdr>
        <w:top w:val="none" w:sz="0" w:space="0" w:color="auto"/>
        <w:left w:val="none" w:sz="0" w:space="0" w:color="auto"/>
        <w:bottom w:val="none" w:sz="0" w:space="0" w:color="auto"/>
        <w:right w:val="none" w:sz="0" w:space="0" w:color="auto"/>
      </w:divBdr>
    </w:div>
    <w:div w:id="1446391426">
      <w:bodyDiv w:val="1"/>
      <w:marLeft w:val="0"/>
      <w:marRight w:val="0"/>
      <w:marTop w:val="0"/>
      <w:marBottom w:val="0"/>
      <w:divBdr>
        <w:top w:val="none" w:sz="0" w:space="0" w:color="auto"/>
        <w:left w:val="none" w:sz="0" w:space="0" w:color="auto"/>
        <w:bottom w:val="none" w:sz="0" w:space="0" w:color="auto"/>
        <w:right w:val="none" w:sz="0" w:space="0" w:color="auto"/>
      </w:divBdr>
    </w:div>
    <w:div w:id="1447310024">
      <w:bodyDiv w:val="1"/>
      <w:marLeft w:val="0"/>
      <w:marRight w:val="0"/>
      <w:marTop w:val="0"/>
      <w:marBottom w:val="0"/>
      <w:divBdr>
        <w:top w:val="none" w:sz="0" w:space="0" w:color="auto"/>
        <w:left w:val="none" w:sz="0" w:space="0" w:color="auto"/>
        <w:bottom w:val="none" w:sz="0" w:space="0" w:color="auto"/>
        <w:right w:val="none" w:sz="0" w:space="0" w:color="auto"/>
      </w:divBdr>
    </w:div>
    <w:div w:id="1448814779">
      <w:bodyDiv w:val="1"/>
      <w:marLeft w:val="0"/>
      <w:marRight w:val="0"/>
      <w:marTop w:val="0"/>
      <w:marBottom w:val="0"/>
      <w:divBdr>
        <w:top w:val="none" w:sz="0" w:space="0" w:color="auto"/>
        <w:left w:val="none" w:sz="0" w:space="0" w:color="auto"/>
        <w:bottom w:val="none" w:sz="0" w:space="0" w:color="auto"/>
        <w:right w:val="none" w:sz="0" w:space="0" w:color="auto"/>
      </w:divBdr>
    </w:div>
    <w:div w:id="1448967810">
      <w:bodyDiv w:val="1"/>
      <w:marLeft w:val="0"/>
      <w:marRight w:val="0"/>
      <w:marTop w:val="0"/>
      <w:marBottom w:val="0"/>
      <w:divBdr>
        <w:top w:val="none" w:sz="0" w:space="0" w:color="auto"/>
        <w:left w:val="none" w:sz="0" w:space="0" w:color="auto"/>
        <w:bottom w:val="none" w:sz="0" w:space="0" w:color="auto"/>
        <w:right w:val="none" w:sz="0" w:space="0" w:color="auto"/>
      </w:divBdr>
    </w:div>
    <w:div w:id="1449474090">
      <w:bodyDiv w:val="1"/>
      <w:marLeft w:val="0"/>
      <w:marRight w:val="0"/>
      <w:marTop w:val="0"/>
      <w:marBottom w:val="0"/>
      <w:divBdr>
        <w:top w:val="none" w:sz="0" w:space="0" w:color="auto"/>
        <w:left w:val="none" w:sz="0" w:space="0" w:color="auto"/>
        <w:bottom w:val="none" w:sz="0" w:space="0" w:color="auto"/>
        <w:right w:val="none" w:sz="0" w:space="0" w:color="auto"/>
      </w:divBdr>
    </w:div>
    <w:div w:id="1450973271">
      <w:bodyDiv w:val="1"/>
      <w:marLeft w:val="0"/>
      <w:marRight w:val="0"/>
      <w:marTop w:val="0"/>
      <w:marBottom w:val="0"/>
      <w:divBdr>
        <w:top w:val="none" w:sz="0" w:space="0" w:color="auto"/>
        <w:left w:val="none" w:sz="0" w:space="0" w:color="auto"/>
        <w:bottom w:val="none" w:sz="0" w:space="0" w:color="auto"/>
        <w:right w:val="none" w:sz="0" w:space="0" w:color="auto"/>
      </w:divBdr>
    </w:div>
    <w:div w:id="1454835155">
      <w:bodyDiv w:val="1"/>
      <w:marLeft w:val="0"/>
      <w:marRight w:val="0"/>
      <w:marTop w:val="0"/>
      <w:marBottom w:val="0"/>
      <w:divBdr>
        <w:top w:val="none" w:sz="0" w:space="0" w:color="auto"/>
        <w:left w:val="none" w:sz="0" w:space="0" w:color="auto"/>
        <w:bottom w:val="none" w:sz="0" w:space="0" w:color="auto"/>
        <w:right w:val="none" w:sz="0" w:space="0" w:color="auto"/>
      </w:divBdr>
    </w:div>
    <w:div w:id="1455900019">
      <w:bodyDiv w:val="1"/>
      <w:marLeft w:val="0"/>
      <w:marRight w:val="0"/>
      <w:marTop w:val="0"/>
      <w:marBottom w:val="0"/>
      <w:divBdr>
        <w:top w:val="none" w:sz="0" w:space="0" w:color="auto"/>
        <w:left w:val="none" w:sz="0" w:space="0" w:color="auto"/>
        <w:bottom w:val="none" w:sz="0" w:space="0" w:color="auto"/>
        <w:right w:val="none" w:sz="0" w:space="0" w:color="auto"/>
      </w:divBdr>
    </w:div>
    <w:div w:id="1456101275">
      <w:bodyDiv w:val="1"/>
      <w:marLeft w:val="0"/>
      <w:marRight w:val="0"/>
      <w:marTop w:val="0"/>
      <w:marBottom w:val="0"/>
      <w:divBdr>
        <w:top w:val="none" w:sz="0" w:space="0" w:color="auto"/>
        <w:left w:val="none" w:sz="0" w:space="0" w:color="auto"/>
        <w:bottom w:val="none" w:sz="0" w:space="0" w:color="auto"/>
        <w:right w:val="none" w:sz="0" w:space="0" w:color="auto"/>
      </w:divBdr>
    </w:div>
    <w:div w:id="1456481668">
      <w:bodyDiv w:val="1"/>
      <w:marLeft w:val="0"/>
      <w:marRight w:val="0"/>
      <w:marTop w:val="0"/>
      <w:marBottom w:val="0"/>
      <w:divBdr>
        <w:top w:val="none" w:sz="0" w:space="0" w:color="auto"/>
        <w:left w:val="none" w:sz="0" w:space="0" w:color="auto"/>
        <w:bottom w:val="none" w:sz="0" w:space="0" w:color="auto"/>
        <w:right w:val="none" w:sz="0" w:space="0" w:color="auto"/>
      </w:divBdr>
    </w:div>
    <w:div w:id="1467048031">
      <w:bodyDiv w:val="1"/>
      <w:marLeft w:val="0"/>
      <w:marRight w:val="0"/>
      <w:marTop w:val="0"/>
      <w:marBottom w:val="0"/>
      <w:divBdr>
        <w:top w:val="none" w:sz="0" w:space="0" w:color="auto"/>
        <w:left w:val="none" w:sz="0" w:space="0" w:color="auto"/>
        <w:bottom w:val="none" w:sz="0" w:space="0" w:color="auto"/>
        <w:right w:val="none" w:sz="0" w:space="0" w:color="auto"/>
      </w:divBdr>
    </w:div>
    <w:div w:id="1475173074">
      <w:bodyDiv w:val="1"/>
      <w:marLeft w:val="0"/>
      <w:marRight w:val="0"/>
      <w:marTop w:val="0"/>
      <w:marBottom w:val="0"/>
      <w:divBdr>
        <w:top w:val="none" w:sz="0" w:space="0" w:color="auto"/>
        <w:left w:val="none" w:sz="0" w:space="0" w:color="auto"/>
        <w:bottom w:val="none" w:sz="0" w:space="0" w:color="auto"/>
        <w:right w:val="none" w:sz="0" w:space="0" w:color="auto"/>
      </w:divBdr>
    </w:div>
    <w:div w:id="1481537497">
      <w:bodyDiv w:val="1"/>
      <w:marLeft w:val="0"/>
      <w:marRight w:val="0"/>
      <w:marTop w:val="0"/>
      <w:marBottom w:val="0"/>
      <w:divBdr>
        <w:top w:val="none" w:sz="0" w:space="0" w:color="auto"/>
        <w:left w:val="none" w:sz="0" w:space="0" w:color="auto"/>
        <w:bottom w:val="none" w:sz="0" w:space="0" w:color="auto"/>
        <w:right w:val="none" w:sz="0" w:space="0" w:color="auto"/>
      </w:divBdr>
    </w:div>
    <w:div w:id="1482692533">
      <w:bodyDiv w:val="1"/>
      <w:marLeft w:val="0"/>
      <w:marRight w:val="0"/>
      <w:marTop w:val="0"/>
      <w:marBottom w:val="0"/>
      <w:divBdr>
        <w:top w:val="none" w:sz="0" w:space="0" w:color="auto"/>
        <w:left w:val="none" w:sz="0" w:space="0" w:color="auto"/>
        <w:bottom w:val="none" w:sz="0" w:space="0" w:color="auto"/>
        <w:right w:val="none" w:sz="0" w:space="0" w:color="auto"/>
      </w:divBdr>
    </w:div>
    <w:div w:id="1483084557">
      <w:bodyDiv w:val="1"/>
      <w:marLeft w:val="0"/>
      <w:marRight w:val="0"/>
      <w:marTop w:val="0"/>
      <w:marBottom w:val="0"/>
      <w:divBdr>
        <w:top w:val="none" w:sz="0" w:space="0" w:color="auto"/>
        <w:left w:val="none" w:sz="0" w:space="0" w:color="auto"/>
        <w:bottom w:val="none" w:sz="0" w:space="0" w:color="auto"/>
        <w:right w:val="none" w:sz="0" w:space="0" w:color="auto"/>
      </w:divBdr>
    </w:div>
    <w:div w:id="1483500864">
      <w:bodyDiv w:val="1"/>
      <w:marLeft w:val="0"/>
      <w:marRight w:val="0"/>
      <w:marTop w:val="0"/>
      <w:marBottom w:val="0"/>
      <w:divBdr>
        <w:top w:val="none" w:sz="0" w:space="0" w:color="auto"/>
        <w:left w:val="none" w:sz="0" w:space="0" w:color="auto"/>
        <w:bottom w:val="none" w:sz="0" w:space="0" w:color="auto"/>
        <w:right w:val="none" w:sz="0" w:space="0" w:color="auto"/>
      </w:divBdr>
    </w:div>
    <w:div w:id="1484276955">
      <w:bodyDiv w:val="1"/>
      <w:marLeft w:val="0"/>
      <w:marRight w:val="0"/>
      <w:marTop w:val="0"/>
      <w:marBottom w:val="0"/>
      <w:divBdr>
        <w:top w:val="none" w:sz="0" w:space="0" w:color="auto"/>
        <w:left w:val="none" w:sz="0" w:space="0" w:color="auto"/>
        <w:bottom w:val="none" w:sz="0" w:space="0" w:color="auto"/>
        <w:right w:val="none" w:sz="0" w:space="0" w:color="auto"/>
      </w:divBdr>
    </w:div>
    <w:div w:id="1487815039">
      <w:bodyDiv w:val="1"/>
      <w:marLeft w:val="0"/>
      <w:marRight w:val="0"/>
      <w:marTop w:val="0"/>
      <w:marBottom w:val="0"/>
      <w:divBdr>
        <w:top w:val="none" w:sz="0" w:space="0" w:color="auto"/>
        <w:left w:val="none" w:sz="0" w:space="0" w:color="auto"/>
        <w:bottom w:val="none" w:sz="0" w:space="0" w:color="auto"/>
        <w:right w:val="none" w:sz="0" w:space="0" w:color="auto"/>
      </w:divBdr>
    </w:div>
    <w:div w:id="1493914666">
      <w:bodyDiv w:val="1"/>
      <w:marLeft w:val="0"/>
      <w:marRight w:val="0"/>
      <w:marTop w:val="0"/>
      <w:marBottom w:val="0"/>
      <w:divBdr>
        <w:top w:val="none" w:sz="0" w:space="0" w:color="auto"/>
        <w:left w:val="none" w:sz="0" w:space="0" w:color="auto"/>
        <w:bottom w:val="none" w:sz="0" w:space="0" w:color="auto"/>
        <w:right w:val="none" w:sz="0" w:space="0" w:color="auto"/>
      </w:divBdr>
    </w:div>
    <w:div w:id="1496871700">
      <w:bodyDiv w:val="1"/>
      <w:marLeft w:val="0"/>
      <w:marRight w:val="0"/>
      <w:marTop w:val="0"/>
      <w:marBottom w:val="0"/>
      <w:divBdr>
        <w:top w:val="none" w:sz="0" w:space="0" w:color="auto"/>
        <w:left w:val="none" w:sz="0" w:space="0" w:color="auto"/>
        <w:bottom w:val="none" w:sz="0" w:space="0" w:color="auto"/>
        <w:right w:val="none" w:sz="0" w:space="0" w:color="auto"/>
      </w:divBdr>
    </w:div>
    <w:div w:id="1503084074">
      <w:bodyDiv w:val="1"/>
      <w:marLeft w:val="0"/>
      <w:marRight w:val="0"/>
      <w:marTop w:val="0"/>
      <w:marBottom w:val="0"/>
      <w:divBdr>
        <w:top w:val="none" w:sz="0" w:space="0" w:color="auto"/>
        <w:left w:val="none" w:sz="0" w:space="0" w:color="auto"/>
        <w:bottom w:val="none" w:sz="0" w:space="0" w:color="auto"/>
        <w:right w:val="none" w:sz="0" w:space="0" w:color="auto"/>
      </w:divBdr>
    </w:div>
    <w:div w:id="1506939586">
      <w:bodyDiv w:val="1"/>
      <w:marLeft w:val="0"/>
      <w:marRight w:val="0"/>
      <w:marTop w:val="0"/>
      <w:marBottom w:val="0"/>
      <w:divBdr>
        <w:top w:val="none" w:sz="0" w:space="0" w:color="auto"/>
        <w:left w:val="none" w:sz="0" w:space="0" w:color="auto"/>
        <w:bottom w:val="none" w:sz="0" w:space="0" w:color="auto"/>
        <w:right w:val="none" w:sz="0" w:space="0" w:color="auto"/>
      </w:divBdr>
    </w:div>
    <w:div w:id="1509949978">
      <w:bodyDiv w:val="1"/>
      <w:marLeft w:val="0"/>
      <w:marRight w:val="0"/>
      <w:marTop w:val="0"/>
      <w:marBottom w:val="0"/>
      <w:divBdr>
        <w:top w:val="none" w:sz="0" w:space="0" w:color="auto"/>
        <w:left w:val="none" w:sz="0" w:space="0" w:color="auto"/>
        <w:bottom w:val="none" w:sz="0" w:space="0" w:color="auto"/>
        <w:right w:val="none" w:sz="0" w:space="0" w:color="auto"/>
      </w:divBdr>
    </w:div>
    <w:div w:id="1510875790">
      <w:bodyDiv w:val="1"/>
      <w:marLeft w:val="0"/>
      <w:marRight w:val="0"/>
      <w:marTop w:val="0"/>
      <w:marBottom w:val="0"/>
      <w:divBdr>
        <w:top w:val="none" w:sz="0" w:space="0" w:color="auto"/>
        <w:left w:val="none" w:sz="0" w:space="0" w:color="auto"/>
        <w:bottom w:val="none" w:sz="0" w:space="0" w:color="auto"/>
        <w:right w:val="none" w:sz="0" w:space="0" w:color="auto"/>
      </w:divBdr>
    </w:div>
    <w:div w:id="1512643617">
      <w:bodyDiv w:val="1"/>
      <w:marLeft w:val="0"/>
      <w:marRight w:val="0"/>
      <w:marTop w:val="0"/>
      <w:marBottom w:val="0"/>
      <w:divBdr>
        <w:top w:val="none" w:sz="0" w:space="0" w:color="auto"/>
        <w:left w:val="none" w:sz="0" w:space="0" w:color="auto"/>
        <w:bottom w:val="none" w:sz="0" w:space="0" w:color="auto"/>
        <w:right w:val="none" w:sz="0" w:space="0" w:color="auto"/>
      </w:divBdr>
    </w:div>
    <w:div w:id="1520313907">
      <w:bodyDiv w:val="1"/>
      <w:marLeft w:val="0"/>
      <w:marRight w:val="0"/>
      <w:marTop w:val="0"/>
      <w:marBottom w:val="0"/>
      <w:divBdr>
        <w:top w:val="none" w:sz="0" w:space="0" w:color="auto"/>
        <w:left w:val="none" w:sz="0" w:space="0" w:color="auto"/>
        <w:bottom w:val="none" w:sz="0" w:space="0" w:color="auto"/>
        <w:right w:val="none" w:sz="0" w:space="0" w:color="auto"/>
      </w:divBdr>
    </w:div>
    <w:div w:id="1521309835">
      <w:bodyDiv w:val="1"/>
      <w:marLeft w:val="0"/>
      <w:marRight w:val="0"/>
      <w:marTop w:val="0"/>
      <w:marBottom w:val="0"/>
      <w:divBdr>
        <w:top w:val="none" w:sz="0" w:space="0" w:color="auto"/>
        <w:left w:val="none" w:sz="0" w:space="0" w:color="auto"/>
        <w:bottom w:val="none" w:sz="0" w:space="0" w:color="auto"/>
        <w:right w:val="none" w:sz="0" w:space="0" w:color="auto"/>
      </w:divBdr>
    </w:div>
    <w:div w:id="1535338432">
      <w:bodyDiv w:val="1"/>
      <w:marLeft w:val="0"/>
      <w:marRight w:val="0"/>
      <w:marTop w:val="0"/>
      <w:marBottom w:val="0"/>
      <w:divBdr>
        <w:top w:val="none" w:sz="0" w:space="0" w:color="auto"/>
        <w:left w:val="none" w:sz="0" w:space="0" w:color="auto"/>
        <w:bottom w:val="none" w:sz="0" w:space="0" w:color="auto"/>
        <w:right w:val="none" w:sz="0" w:space="0" w:color="auto"/>
      </w:divBdr>
    </w:div>
    <w:div w:id="1537624950">
      <w:bodyDiv w:val="1"/>
      <w:marLeft w:val="0"/>
      <w:marRight w:val="0"/>
      <w:marTop w:val="0"/>
      <w:marBottom w:val="0"/>
      <w:divBdr>
        <w:top w:val="none" w:sz="0" w:space="0" w:color="auto"/>
        <w:left w:val="none" w:sz="0" w:space="0" w:color="auto"/>
        <w:bottom w:val="none" w:sz="0" w:space="0" w:color="auto"/>
        <w:right w:val="none" w:sz="0" w:space="0" w:color="auto"/>
      </w:divBdr>
    </w:div>
    <w:div w:id="1543245027">
      <w:bodyDiv w:val="1"/>
      <w:marLeft w:val="0"/>
      <w:marRight w:val="0"/>
      <w:marTop w:val="0"/>
      <w:marBottom w:val="0"/>
      <w:divBdr>
        <w:top w:val="none" w:sz="0" w:space="0" w:color="auto"/>
        <w:left w:val="none" w:sz="0" w:space="0" w:color="auto"/>
        <w:bottom w:val="none" w:sz="0" w:space="0" w:color="auto"/>
        <w:right w:val="none" w:sz="0" w:space="0" w:color="auto"/>
      </w:divBdr>
    </w:div>
    <w:div w:id="1549879128">
      <w:bodyDiv w:val="1"/>
      <w:marLeft w:val="0"/>
      <w:marRight w:val="0"/>
      <w:marTop w:val="0"/>
      <w:marBottom w:val="0"/>
      <w:divBdr>
        <w:top w:val="none" w:sz="0" w:space="0" w:color="auto"/>
        <w:left w:val="none" w:sz="0" w:space="0" w:color="auto"/>
        <w:bottom w:val="none" w:sz="0" w:space="0" w:color="auto"/>
        <w:right w:val="none" w:sz="0" w:space="0" w:color="auto"/>
      </w:divBdr>
    </w:div>
    <w:div w:id="1557009930">
      <w:bodyDiv w:val="1"/>
      <w:marLeft w:val="0"/>
      <w:marRight w:val="0"/>
      <w:marTop w:val="0"/>
      <w:marBottom w:val="0"/>
      <w:divBdr>
        <w:top w:val="none" w:sz="0" w:space="0" w:color="auto"/>
        <w:left w:val="none" w:sz="0" w:space="0" w:color="auto"/>
        <w:bottom w:val="none" w:sz="0" w:space="0" w:color="auto"/>
        <w:right w:val="none" w:sz="0" w:space="0" w:color="auto"/>
      </w:divBdr>
    </w:div>
    <w:div w:id="1557594448">
      <w:bodyDiv w:val="1"/>
      <w:marLeft w:val="0"/>
      <w:marRight w:val="0"/>
      <w:marTop w:val="0"/>
      <w:marBottom w:val="0"/>
      <w:divBdr>
        <w:top w:val="none" w:sz="0" w:space="0" w:color="auto"/>
        <w:left w:val="none" w:sz="0" w:space="0" w:color="auto"/>
        <w:bottom w:val="none" w:sz="0" w:space="0" w:color="auto"/>
        <w:right w:val="none" w:sz="0" w:space="0" w:color="auto"/>
      </w:divBdr>
    </w:div>
    <w:div w:id="1561670622">
      <w:bodyDiv w:val="1"/>
      <w:marLeft w:val="0"/>
      <w:marRight w:val="0"/>
      <w:marTop w:val="0"/>
      <w:marBottom w:val="0"/>
      <w:divBdr>
        <w:top w:val="none" w:sz="0" w:space="0" w:color="auto"/>
        <w:left w:val="none" w:sz="0" w:space="0" w:color="auto"/>
        <w:bottom w:val="none" w:sz="0" w:space="0" w:color="auto"/>
        <w:right w:val="none" w:sz="0" w:space="0" w:color="auto"/>
      </w:divBdr>
    </w:div>
    <w:div w:id="1562525271">
      <w:bodyDiv w:val="1"/>
      <w:marLeft w:val="0"/>
      <w:marRight w:val="0"/>
      <w:marTop w:val="0"/>
      <w:marBottom w:val="0"/>
      <w:divBdr>
        <w:top w:val="none" w:sz="0" w:space="0" w:color="auto"/>
        <w:left w:val="none" w:sz="0" w:space="0" w:color="auto"/>
        <w:bottom w:val="none" w:sz="0" w:space="0" w:color="auto"/>
        <w:right w:val="none" w:sz="0" w:space="0" w:color="auto"/>
      </w:divBdr>
    </w:div>
    <w:div w:id="1563327308">
      <w:bodyDiv w:val="1"/>
      <w:marLeft w:val="0"/>
      <w:marRight w:val="0"/>
      <w:marTop w:val="0"/>
      <w:marBottom w:val="0"/>
      <w:divBdr>
        <w:top w:val="none" w:sz="0" w:space="0" w:color="auto"/>
        <w:left w:val="none" w:sz="0" w:space="0" w:color="auto"/>
        <w:bottom w:val="none" w:sz="0" w:space="0" w:color="auto"/>
        <w:right w:val="none" w:sz="0" w:space="0" w:color="auto"/>
      </w:divBdr>
    </w:div>
    <w:div w:id="1566646839">
      <w:bodyDiv w:val="1"/>
      <w:marLeft w:val="0"/>
      <w:marRight w:val="0"/>
      <w:marTop w:val="0"/>
      <w:marBottom w:val="0"/>
      <w:divBdr>
        <w:top w:val="none" w:sz="0" w:space="0" w:color="auto"/>
        <w:left w:val="none" w:sz="0" w:space="0" w:color="auto"/>
        <w:bottom w:val="none" w:sz="0" w:space="0" w:color="auto"/>
        <w:right w:val="none" w:sz="0" w:space="0" w:color="auto"/>
      </w:divBdr>
    </w:div>
    <w:div w:id="1567448803">
      <w:bodyDiv w:val="1"/>
      <w:marLeft w:val="0"/>
      <w:marRight w:val="0"/>
      <w:marTop w:val="0"/>
      <w:marBottom w:val="0"/>
      <w:divBdr>
        <w:top w:val="none" w:sz="0" w:space="0" w:color="auto"/>
        <w:left w:val="none" w:sz="0" w:space="0" w:color="auto"/>
        <w:bottom w:val="none" w:sz="0" w:space="0" w:color="auto"/>
        <w:right w:val="none" w:sz="0" w:space="0" w:color="auto"/>
      </w:divBdr>
    </w:div>
    <w:div w:id="1569073874">
      <w:bodyDiv w:val="1"/>
      <w:marLeft w:val="0"/>
      <w:marRight w:val="0"/>
      <w:marTop w:val="0"/>
      <w:marBottom w:val="0"/>
      <w:divBdr>
        <w:top w:val="none" w:sz="0" w:space="0" w:color="auto"/>
        <w:left w:val="none" w:sz="0" w:space="0" w:color="auto"/>
        <w:bottom w:val="none" w:sz="0" w:space="0" w:color="auto"/>
        <w:right w:val="none" w:sz="0" w:space="0" w:color="auto"/>
      </w:divBdr>
    </w:div>
    <w:div w:id="1574660927">
      <w:bodyDiv w:val="1"/>
      <w:marLeft w:val="0"/>
      <w:marRight w:val="0"/>
      <w:marTop w:val="0"/>
      <w:marBottom w:val="0"/>
      <w:divBdr>
        <w:top w:val="none" w:sz="0" w:space="0" w:color="auto"/>
        <w:left w:val="none" w:sz="0" w:space="0" w:color="auto"/>
        <w:bottom w:val="none" w:sz="0" w:space="0" w:color="auto"/>
        <w:right w:val="none" w:sz="0" w:space="0" w:color="auto"/>
      </w:divBdr>
    </w:div>
    <w:div w:id="1576237605">
      <w:bodyDiv w:val="1"/>
      <w:marLeft w:val="0"/>
      <w:marRight w:val="0"/>
      <w:marTop w:val="0"/>
      <w:marBottom w:val="0"/>
      <w:divBdr>
        <w:top w:val="none" w:sz="0" w:space="0" w:color="auto"/>
        <w:left w:val="none" w:sz="0" w:space="0" w:color="auto"/>
        <w:bottom w:val="none" w:sz="0" w:space="0" w:color="auto"/>
        <w:right w:val="none" w:sz="0" w:space="0" w:color="auto"/>
      </w:divBdr>
      <w:divsChild>
        <w:div w:id="66655023">
          <w:marLeft w:val="60"/>
          <w:marRight w:val="60"/>
          <w:marTop w:val="100"/>
          <w:marBottom w:val="100"/>
          <w:divBdr>
            <w:top w:val="none" w:sz="0" w:space="0" w:color="auto"/>
            <w:left w:val="none" w:sz="0" w:space="0" w:color="auto"/>
            <w:bottom w:val="none" w:sz="0" w:space="0" w:color="auto"/>
            <w:right w:val="none" w:sz="0" w:space="0" w:color="auto"/>
          </w:divBdr>
          <w:divsChild>
            <w:div w:id="1878807761">
              <w:marLeft w:val="0"/>
              <w:marRight w:val="0"/>
              <w:marTop w:val="0"/>
              <w:marBottom w:val="0"/>
              <w:divBdr>
                <w:top w:val="none" w:sz="0" w:space="0" w:color="auto"/>
                <w:left w:val="none" w:sz="0" w:space="0" w:color="auto"/>
                <w:bottom w:val="none" w:sz="0" w:space="0" w:color="auto"/>
                <w:right w:val="none" w:sz="0" w:space="0" w:color="auto"/>
              </w:divBdr>
            </w:div>
          </w:divsChild>
        </w:div>
        <w:div w:id="282884073">
          <w:marLeft w:val="60"/>
          <w:marRight w:val="60"/>
          <w:marTop w:val="100"/>
          <w:marBottom w:val="100"/>
          <w:divBdr>
            <w:top w:val="none" w:sz="0" w:space="0" w:color="auto"/>
            <w:left w:val="none" w:sz="0" w:space="0" w:color="auto"/>
            <w:bottom w:val="none" w:sz="0" w:space="0" w:color="auto"/>
            <w:right w:val="none" w:sz="0" w:space="0" w:color="auto"/>
          </w:divBdr>
        </w:div>
        <w:div w:id="1518498961">
          <w:marLeft w:val="60"/>
          <w:marRight w:val="60"/>
          <w:marTop w:val="100"/>
          <w:marBottom w:val="100"/>
          <w:divBdr>
            <w:top w:val="none" w:sz="0" w:space="0" w:color="auto"/>
            <w:left w:val="none" w:sz="0" w:space="0" w:color="auto"/>
            <w:bottom w:val="none" w:sz="0" w:space="0" w:color="auto"/>
            <w:right w:val="none" w:sz="0" w:space="0" w:color="auto"/>
          </w:divBdr>
          <w:divsChild>
            <w:div w:id="1162162442">
              <w:marLeft w:val="0"/>
              <w:marRight w:val="0"/>
              <w:marTop w:val="0"/>
              <w:marBottom w:val="0"/>
              <w:divBdr>
                <w:top w:val="none" w:sz="0" w:space="0" w:color="auto"/>
                <w:left w:val="none" w:sz="0" w:space="0" w:color="auto"/>
                <w:bottom w:val="none" w:sz="0" w:space="0" w:color="auto"/>
                <w:right w:val="none" w:sz="0" w:space="0" w:color="auto"/>
              </w:divBdr>
            </w:div>
          </w:divsChild>
        </w:div>
        <w:div w:id="395051430">
          <w:marLeft w:val="60"/>
          <w:marRight w:val="60"/>
          <w:marTop w:val="100"/>
          <w:marBottom w:val="100"/>
          <w:divBdr>
            <w:top w:val="none" w:sz="0" w:space="0" w:color="auto"/>
            <w:left w:val="none" w:sz="0" w:space="0" w:color="auto"/>
            <w:bottom w:val="none" w:sz="0" w:space="0" w:color="auto"/>
            <w:right w:val="none" w:sz="0" w:space="0" w:color="auto"/>
          </w:divBdr>
        </w:div>
        <w:div w:id="1328630866">
          <w:marLeft w:val="60"/>
          <w:marRight w:val="60"/>
          <w:marTop w:val="100"/>
          <w:marBottom w:val="100"/>
          <w:divBdr>
            <w:top w:val="none" w:sz="0" w:space="0" w:color="auto"/>
            <w:left w:val="none" w:sz="0" w:space="0" w:color="auto"/>
            <w:bottom w:val="none" w:sz="0" w:space="0" w:color="auto"/>
            <w:right w:val="none" w:sz="0" w:space="0" w:color="auto"/>
          </w:divBdr>
          <w:divsChild>
            <w:div w:id="1313174848">
              <w:marLeft w:val="0"/>
              <w:marRight w:val="0"/>
              <w:marTop w:val="0"/>
              <w:marBottom w:val="0"/>
              <w:divBdr>
                <w:top w:val="none" w:sz="0" w:space="0" w:color="auto"/>
                <w:left w:val="none" w:sz="0" w:space="0" w:color="auto"/>
                <w:bottom w:val="none" w:sz="0" w:space="0" w:color="auto"/>
                <w:right w:val="none" w:sz="0" w:space="0" w:color="auto"/>
              </w:divBdr>
            </w:div>
          </w:divsChild>
        </w:div>
        <w:div w:id="352463237">
          <w:marLeft w:val="60"/>
          <w:marRight w:val="60"/>
          <w:marTop w:val="100"/>
          <w:marBottom w:val="100"/>
          <w:divBdr>
            <w:top w:val="none" w:sz="0" w:space="0" w:color="auto"/>
            <w:left w:val="none" w:sz="0" w:space="0" w:color="auto"/>
            <w:bottom w:val="none" w:sz="0" w:space="0" w:color="auto"/>
            <w:right w:val="none" w:sz="0" w:space="0" w:color="auto"/>
          </w:divBdr>
        </w:div>
        <w:div w:id="899898663">
          <w:marLeft w:val="60"/>
          <w:marRight w:val="60"/>
          <w:marTop w:val="100"/>
          <w:marBottom w:val="100"/>
          <w:divBdr>
            <w:top w:val="none" w:sz="0" w:space="0" w:color="auto"/>
            <w:left w:val="none" w:sz="0" w:space="0" w:color="auto"/>
            <w:bottom w:val="none" w:sz="0" w:space="0" w:color="auto"/>
            <w:right w:val="none" w:sz="0" w:space="0" w:color="auto"/>
          </w:divBdr>
          <w:divsChild>
            <w:div w:id="1980916764">
              <w:marLeft w:val="0"/>
              <w:marRight w:val="0"/>
              <w:marTop w:val="0"/>
              <w:marBottom w:val="0"/>
              <w:divBdr>
                <w:top w:val="none" w:sz="0" w:space="0" w:color="auto"/>
                <w:left w:val="none" w:sz="0" w:space="0" w:color="auto"/>
                <w:bottom w:val="none" w:sz="0" w:space="0" w:color="auto"/>
                <w:right w:val="none" w:sz="0" w:space="0" w:color="auto"/>
              </w:divBdr>
            </w:div>
          </w:divsChild>
        </w:div>
        <w:div w:id="1278370886">
          <w:marLeft w:val="60"/>
          <w:marRight w:val="60"/>
          <w:marTop w:val="100"/>
          <w:marBottom w:val="100"/>
          <w:divBdr>
            <w:top w:val="none" w:sz="0" w:space="0" w:color="auto"/>
            <w:left w:val="none" w:sz="0" w:space="0" w:color="auto"/>
            <w:bottom w:val="none" w:sz="0" w:space="0" w:color="auto"/>
            <w:right w:val="none" w:sz="0" w:space="0" w:color="auto"/>
          </w:divBdr>
        </w:div>
        <w:div w:id="1222861804">
          <w:marLeft w:val="60"/>
          <w:marRight w:val="60"/>
          <w:marTop w:val="100"/>
          <w:marBottom w:val="100"/>
          <w:divBdr>
            <w:top w:val="none" w:sz="0" w:space="0" w:color="auto"/>
            <w:left w:val="none" w:sz="0" w:space="0" w:color="auto"/>
            <w:bottom w:val="none" w:sz="0" w:space="0" w:color="auto"/>
            <w:right w:val="none" w:sz="0" w:space="0" w:color="auto"/>
          </w:divBdr>
          <w:divsChild>
            <w:div w:id="106777680">
              <w:marLeft w:val="0"/>
              <w:marRight w:val="0"/>
              <w:marTop w:val="0"/>
              <w:marBottom w:val="0"/>
              <w:divBdr>
                <w:top w:val="none" w:sz="0" w:space="0" w:color="auto"/>
                <w:left w:val="none" w:sz="0" w:space="0" w:color="auto"/>
                <w:bottom w:val="none" w:sz="0" w:space="0" w:color="auto"/>
                <w:right w:val="none" w:sz="0" w:space="0" w:color="auto"/>
              </w:divBdr>
            </w:div>
          </w:divsChild>
        </w:div>
        <w:div w:id="44381053">
          <w:marLeft w:val="60"/>
          <w:marRight w:val="60"/>
          <w:marTop w:val="100"/>
          <w:marBottom w:val="100"/>
          <w:divBdr>
            <w:top w:val="none" w:sz="0" w:space="0" w:color="auto"/>
            <w:left w:val="none" w:sz="0" w:space="0" w:color="auto"/>
            <w:bottom w:val="none" w:sz="0" w:space="0" w:color="auto"/>
            <w:right w:val="none" w:sz="0" w:space="0" w:color="auto"/>
          </w:divBdr>
        </w:div>
        <w:div w:id="579486342">
          <w:marLeft w:val="60"/>
          <w:marRight w:val="60"/>
          <w:marTop w:val="100"/>
          <w:marBottom w:val="100"/>
          <w:divBdr>
            <w:top w:val="none" w:sz="0" w:space="0" w:color="auto"/>
            <w:left w:val="none" w:sz="0" w:space="0" w:color="auto"/>
            <w:bottom w:val="none" w:sz="0" w:space="0" w:color="auto"/>
            <w:right w:val="none" w:sz="0" w:space="0" w:color="auto"/>
          </w:divBdr>
          <w:divsChild>
            <w:div w:id="1320571173">
              <w:marLeft w:val="0"/>
              <w:marRight w:val="0"/>
              <w:marTop w:val="0"/>
              <w:marBottom w:val="0"/>
              <w:divBdr>
                <w:top w:val="none" w:sz="0" w:space="0" w:color="auto"/>
                <w:left w:val="none" w:sz="0" w:space="0" w:color="auto"/>
                <w:bottom w:val="none" w:sz="0" w:space="0" w:color="auto"/>
                <w:right w:val="none" w:sz="0" w:space="0" w:color="auto"/>
              </w:divBdr>
            </w:div>
          </w:divsChild>
        </w:div>
        <w:div w:id="728378114">
          <w:marLeft w:val="60"/>
          <w:marRight w:val="60"/>
          <w:marTop w:val="100"/>
          <w:marBottom w:val="100"/>
          <w:divBdr>
            <w:top w:val="none" w:sz="0" w:space="0" w:color="auto"/>
            <w:left w:val="none" w:sz="0" w:space="0" w:color="auto"/>
            <w:bottom w:val="none" w:sz="0" w:space="0" w:color="auto"/>
            <w:right w:val="none" w:sz="0" w:space="0" w:color="auto"/>
          </w:divBdr>
        </w:div>
        <w:div w:id="845292636">
          <w:marLeft w:val="60"/>
          <w:marRight w:val="60"/>
          <w:marTop w:val="100"/>
          <w:marBottom w:val="100"/>
          <w:divBdr>
            <w:top w:val="none" w:sz="0" w:space="0" w:color="auto"/>
            <w:left w:val="none" w:sz="0" w:space="0" w:color="auto"/>
            <w:bottom w:val="none" w:sz="0" w:space="0" w:color="auto"/>
            <w:right w:val="none" w:sz="0" w:space="0" w:color="auto"/>
          </w:divBdr>
          <w:divsChild>
            <w:div w:id="231939195">
              <w:marLeft w:val="0"/>
              <w:marRight w:val="0"/>
              <w:marTop w:val="0"/>
              <w:marBottom w:val="0"/>
              <w:divBdr>
                <w:top w:val="none" w:sz="0" w:space="0" w:color="auto"/>
                <w:left w:val="none" w:sz="0" w:space="0" w:color="auto"/>
                <w:bottom w:val="none" w:sz="0" w:space="0" w:color="auto"/>
                <w:right w:val="none" w:sz="0" w:space="0" w:color="auto"/>
              </w:divBdr>
            </w:div>
          </w:divsChild>
        </w:div>
        <w:div w:id="2018194678">
          <w:marLeft w:val="60"/>
          <w:marRight w:val="60"/>
          <w:marTop w:val="100"/>
          <w:marBottom w:val="100"/>
          <w:divBdr>
            <w:top w:val="none" w:sz="0" w:space="0" w:color="auto"/>
            <w:left w:val="none" w:sz="0" w:space="0" w:color="auto"/>
            <w:bottom w:val="none" w:sz="0" w:space="0" w:color="auto"/>
            <w:right w:val="none" w:sz="0" w:space="0" w:color="auto"/>
          </w:divBdr>
        </w:div>
        <w:div w:id="531845524">
          <w:marLeft w:val="60"/>
          <w:marRight w:val="60"/>
          <w:marTop w:val="100"/>
          <w:marBottom w:val="100"/>
          <w:divBdr>
            <w:top w:val="none" w:sz="0" w:space="0" w:color="auto"/>
            <w:left w:val="none" w:sz="0" w:space="0" w:color="auto"/>
            <w:bottom w:val="none" w:sz="0" w:space="0" w:color="auto"/>
            <w:right w:val="none" w:sz="0" w:space="0" w:color="auto"/>
          </w:divBdr>
          <w:divsChild>
            <w:div w:id="1739935347">
              <w:marLeft w:val="0"/>
              <w:marRight w:val="0"/>
              <w:marTop w:val="0"/>
              <w:marBottom w:val="0"/>
              <w:divBdr>
                <w:top w:val="none" w:sz="0" w:space="0" w:color="auto"/>
                <w:left w:val="none" w:sz="0" w:space="0" w:color="auto"/>
                <w:bottom w:val="none" w:sz="0" w:space="0" w:color="auto"/>
                <w:right w:val="none" w:sz="0" w:space="0" w:color="auto"/>
              </w:divBdr>
            </w:div>
          </w:divsChild>
        </w:div>
        <w:div w:id="884174622">
          <w:marLeft w:val="60"/>
          <w:marRight w:val="60"/>
          <w:marTop w:val="100"/>
          <w:marBottom w:val="100"/>
          <w:divBdr>
            <w:top w:val="none" w:sz="0" w:space="0" w:color="auto"/>
            <w:left w:val="none" w:sz="0" w:space="0" w:color="auto"/>
            <w:bottom w:val="none" w:sz="0" w:space="0" w:color="auto"/>
            <w:right w:val="none" w:sz="0" w:space="0" w:color="auto"/>
          </w:divBdr>
        </w:div>
        <w:div w:id="2120097751">
          <w:marLeft w:val="60"/>
          <w:marRight w:val="60"/>
          <w:marTop w:val="100"/>
          <w:marBottom w:val="100"/>
          <w:divBdr>
            <w:top w:val="none" w:sz="0" w:space="0" w:color="auto"/>
            <w:left w:val="none" w:sz="0" w:space="0" w:color="auto"/>
            <w:bottom w:val="none" w:sz="0" w:space="0" w:color="auto"/>
            <w:right w:val="none" w:sz="0" w:space="0" w:color="auto"/>
          </w:divBdr>
          <w:divsChild>
            <w:div w:id="2111587820">
              <w:marLeft w:val="0"/>
              <w:marRight w:val="0"/>
              <w:marTop w:val="0"/>
              <w:marBottom w:val="0"/>
              <w:divBdr>
                <w:top w:val="none" w:sz="0" w:space="0" w:color="auto"/>
                <w:left w:val="none" w:sz="0" w:space="0" w:color="auto"/>
                <w:bottom w:val="none" w:sz="0" w:space="0" w:color="auto"/>
                <w:right w:val="none" w:sz="0" w:space="0" w:color="auto"/>
              </w:divBdr>
            </w:div>
          </w:divsChild>
        </w:div>
        <w:div w:id="448091195">
          <w:marLeft w:val="60"/>
          <w:marRight w:val="60"/>
          <w:marTop w:val="100"/>
          <w:marBottom w:val="100"/>
          <w:divBdr>
            <w:top w:val="none" w:sz="0" w:space="0" w:color="auto"/>
            <w:left w:val="none" w:sz="0" w:space="0" w:color="auto"/>
            <w:bottom w:val="none" w:sz="0" w:space="0" w:color="auto"/>
            <w:right w:val="none" w:sz="0" w:space="0" w:color="auto"/>
          </w:divBdr>
        </w:div>
        <w:div w:id="345058682">
          <w:marLeft w:val="60"/>
          <w:marRight w:val="60"/>
          <w:marTop w:val="100"/>
          <w:marBottom w:val="100"/>
          <w:divBdr>
            <w:top w:val="none" w:sz="0" w:space="0" w:color="auto"/>
            <w:left w:val="none" w:sz="0" w:space="0" w:color="auto"/>
            <w:bottom w:val="none" w:sz="0" w:space="0" w:color="auto"/>
            <w:right w:val="none" w:sz="0" w:space="0" w:color="auto"/>
          </w:divBdr>
          <w:divsChild>
            <w:div w:id="2022855750">
              <w:marLeft w:val="0"/>
              <w:marRight w:val="0"/>
              <w:marTop w:val="0"/>
              <w:marBottom w:val="0"/>
              <w:divBdr>
                <w:top w:val="none" w:sz="0" w:space="0" w:color="auto"/>
                <w:left w:val="none" w:sz="0" w:space="0" w:color="auto"/>
                <w:bottom w:val="none" w:sz="0" w:space="0" w:color="auto"/>
                <w:right w:val="none" w:sz="0" w:space="0" w:color="auto"/>
              </w:divBdr>
            </w:div>
          </w:divsChild>
        </w:div>
        <w:div w:id="1071271333">
          <w:marLeft w:val="60"/>
          <w:marRight w:val="60"/>
          <w:marTop w:val="100"/>
          <w:marBottom w:val="100"/>
          <w:divBdr>
            <w:top w:val="none" w:sz="0" w:space="0" w:color="auto"/>
            <w:left w:val="none" w:sz="0" w:space="0" w:color="auto"/>
            <w:bottom w:val="none" w:sz="0" w:space="0" w:color="auto"/>
            <w:right w:val="none" w:sz="0" w:space="0" w:color="auto"/>
          </w:divBdr>
        </w:div>
      </w:divsChild>
    </w:div>
    <w:div w:id="1578982195">
      <w:bodyDiv w:val="1"/>
      <w:marLeft w:val="0"/>
      <w:marRight w:val="0"/>
      <w:marTop w:val="0"/>
      <w:marBottom w:val="0"/>
      <w:divBdr>
        <w:top w:val="none" w:sz="0" w:space="0" w:color="auto"/>
        <w:left w:val="none" w:sz="0" w:space="0" w:color="auto"/>
        <w:bottom w:val="none" w:sz="0" w:space="0" w:color="auto"/>
        <w:right w:val="none" w:sz="0" w:space="0" w:color="auto"/>
      </w:divBdr>
    </w:div>
    <w:div w:id="1581407922">
      <w:bodyDiv w:val="1"/>
      <w:marLeft w:val="0"/>
      <w:marRight w:val="0"/>
      <w:marTop w:val="0"/>
      <w:marBottom w:val="0"/>
      <w:divBdr>
        <w:top w:val="none" w:sz="0" w:space="0" w:color="auto"/>
        <w:left w:val="none" w:sz="0" w:space="0" w:color="auto"/>
        <w:bottom w:val="none" w:sz="0" w:space="0" w:color="auto"/>
        <w:right w:val="none" w:sz="0" w:space="0" w:color="auto"/>
      </w:divBdr>
    </w:div>
    <w:div w:id="1581983286">
      <w:bodyDiv w:val="1"/>
      <w:marLeft w:val="0"/>
      <w:marRight w:val="0"/>
      <w:marTop w:val="0"/>
      <w:marBottom w:val="0"/>
      <w:divBdr>
        <w:top w:val="none" w:sz="0" w:space="0" w:color="auto"/>
        <w:left w:val="none" w:sz="0" w:space="0" w:color="auto"/>
        <w:bottom w:val="none" w:sz="0" w:space="0" w:color="auto"/>
        <w:right w:val="none" w:sz="0" w:space="0" w:color="auto"/>
      </w:divBdr>
    </w:div>
    <w:div w:id="1584531922">
      <w:bodyDiv w:val="1"/>
      <w:marLeft w:val="0"/>
      <w:marRight w:val="0"/>
      <w:marTop w:val="0"/>
      <w:marBottom w:val="0"/>
      <w:divBdr>
        <w:top w:val="none" w:sz="0" w:space="0" w:color="auto"/>
        <w:left w:val="none" w:sz="0" w:space="0" w:color="auto"/>
        <w:bottom w:val="none" w:sz="0" w:space="0" w:color="auto"/>
        <w:right w:val="none" w:sz="0" w:space="0" w:color="auto"/>
      </w:divBdr>
    </w:div>
    <w:div w:id="1585138841">
      <w:bodyDiv w:val="1"/>
      <w:marLeft w:val="0"/>
      <w:marRight w:val="0"/>
      <w:marTop w:val="0"/>
      <w:marBottom w:val="0"/>
      <w:divBdr>
        <w:top w:val="none" w:sz="0" w:space="0" w:color="auto"/>
        <w:left w:val="none" w:sz="0" w:space="0" w:color="auto"/>
        <w:bottom w:val="none" w:sz="0" w:space="0" w:color="auto"/>
        <w:right w:val="none" w:sz="0" w:space="0" w:color="auto"/>
      </w:divBdr>
    </w:div>
    <w:div w:id="1587297999">
      <w:bodyDiv w:val="1"/>
      <w:marLeft w:val="0"/>
      <w:marRight w:val="0"/>
      <w:marTop w:val="0"/>
      <w:marBottom w:val="0"/>
      <w:divBdr>
        <w:top w:val="none" w:sz="0" w:space="0" w:color="auto"/>
        <w:left w:val="none" w:sz="0" w:space="0" w:color="auto"/>
        <w:bottom w:val="none" w:sz="0" w:space="0" w:color="auto"/>
        <w:right w:val="none" w:sz="0" w:space="0" w:color="auto"/>
      </w:divBdr>
    </w:div>
    <w:div w:id="1588462329">
      <w:bodyDiv w:val="1"/>
      <w:marLeft w:val="0"/>
      <w:marRight w:val="0"/>
      <w:marTop w:val="0"/>
      <w:marBottom w:val="0"/>
      <w:divBdr>
        <w:top w:val="none" w:sz="0" w:space="0" w:color="auto"/>
        <w:left w:val="none" w:sz="0" w:space="0" w:color="auto"/>
        <w:bottom w:val="none" w:sz="0" w:space="0" w:color="auto"/>
        <w:right w:val="none" w:sz="0" w:space="0" w:color="auto"/>
      </w:divBdr>
    </w:div>
    <w:div w:id="1593005615">
      <w:bodyDiv w:val="1"/>
      <w:marLeft w:val="0"/>
      <w:marRight w:val="0"/>
      <w:marTop w:val="0"/>
      <w:marBottom w:val="0"/>
      <w:divBdr>
        <w:top w:val="none" w:sz="0" w:space="0" w:color="auto"/>
        <w:left w:val="none" w:sz="0" w:space="0" w:color="auto"/>
        <w:bottom w:val="none" w:sz="0" w:space="0" w:color="auto"/>
        <w:right w:val="none" w:sz="0" w:space="0" w:color="auto"/>
      </w:divBdr>
    </w:div>
    <w:div w:id="1599556122">
      <w:bodyDiv w:val="1"/>
      <w:marLeft w:val="0"/>
      <w:marRight w:val="0"/>
      <w:marTop w:val="0"/>
      <w:marBottom w:val="0"/>
      <w:divBdr>
        <w:top w:val="none" w:sz="0" w:space="0" w:color="auto"/>
        <w:left w:val="none" w:sz="0" w:space="0" w:color="auto"/>
        <w:bottom w:val="none" w:sz="0" w:space="0" w:color="auto"/>
        <w:right w:val="none" w:sz="0" w:space="0" w:color="auto"/>
      </w:divBdr>
    </w:div>
    <w:div w:id="1599560230">
      <w:bodyDiv w:val="1"/>
      <w:marLeft w:val="0"/>
      <w:marRight w:val="0"/>
      <w:marTop w:val="0"/>
      <w:marBottom w:val="0"/>
      <w:divBdr>
        <w:top w:val="none" w:sz="0" w:space="0" w:color="auto"/>
        <w:left w:val="none" w:sz="0" w:space="0" w:color="auto"/>
        <w:bottom w:val="none" w:sz="0" w:space="0" w:color="auto"/>
        <w:right w:val="none" w:sz="0" w:space="0" w:color="auto"/>
      </w:divBdr>
    </w:div>
    <w:div w:id="1602297544">
      <w:bodyDiv w:val="1"/>
      <w:marLeft w:val="0"/>
      <w:marRight w:val="0"/>
      <w:marTop w:val="0"/>
      <w:marBottom w:val="0"/>
      <w:divBdr>
        <w:top w:val="none" w:sz="0" w:space="0" w:color="auto"/>
        <w:left w:val="none" w:sz="0" w:space="0" w:color="auto"/>
        <w:bottom w:val="none" w:sz="0" w:space="0" w:color="auto"/>
        <w:right w:val="none" w:sz="0" w:space="0" w:color="auto"/>
      </w:divBdr>
    </w:div>
    <w:div w:id="1604728405">
      <w:bodyDiv w:val="1"/>
      <w:marLeft w:val="0"/>
      <w:marRight w:val="0"/>
      <w:marTop w:val="0"/>
      <w:marBottom w:val="0"/>
      <w:divBdr>
        <w:top w:val="none" w:sz="0" w:space="0" w:color="auto"/>
        <w:left w:val="none" w:sz="0" w:space="0" w:color="auto"/>
        <w:bottom w:val="none" w:sz="0" w:space="0" w:color="auto"/>
        <w:right w:val="none" w:sz="0" w:space="0" w:color="auto"/>
      </w:divBdr>
    </w:div>
    <w:div w:id="1614047342">
      <w:bodyDiv w:val="1"/>
      <w:marLeft w:val="0"/>
      <w:marRight w:val="0"/>
      <w:marTop w:val="0"/>
      <w:marBottom w:val="0"/>
      <w:divBdr>
        <w:top w:val="none" w:sz="0" w:space="0" w:color="auto"/>
        <w:left w:val="none" w:sz="0" w:space="0" w:color="auto"/>
        <w:bottom w:val="none" w:sz="0" w:space="0" w:color="auto"/>
        <w:right w:val="none" w:sz="0" w:space="0" w:color="auto"/>
      </w:divBdr>
    </w:div>
    <w:div w:id="1619945566">
      <w:bodyDiv w:val="1"/>
      <w:marLeft w:val="0"/>
      <w:marRight w:val="0"/>
      <w:marTop w:val="0"/>
      <w:marBottom w:val="0"/>
      <w:divBdr>
        <w:top w:val="none" w:sz="0" w:space="0" w:color="auto"/>
        <w:left w:val="none" w:sz="0" w:space="0" w:color="auto"/>
        <w:bottom w:val="none" w:sz="0" w:space="0" w:color="auto"/>
        <w:right w:val="none" w:sz="0" w:space="0" w:color="auto"/>
      </w:divBdr>
    </w:div>
    <w:div w:id="1620067818">
      <w:bodyDiv w:val="1"/>
      <w:marLeft w:val="0"/>
      <w:marRight w:val="0"/>
      <w:marTop w:val="0"/>
      <w:marBottom w:val="0"/>
      <w:divBdr>
        <w:top w:val="none" w:sz="0" w:space="0" w:color="auto"/>
        <w:left w:val="none" w:sz="0" w:space="0" w:color="auto"/>
        <w:bottom w:val="none" w:sz="0" w:space="0" w:color="auto"/>
        <w:right w:val="none" w:sz="0" w:space="0" w:color="auto"/>
      </w:divBdr>
    </w:div>
    <w:div w:id="1625308416">
      <w:bodyDiv w:val="1"/>
      <w:marLeft w:val="0"/>
      <w:marRight w:val="0"/>
      <w:marTop w:val="0"/>
      <w:marBottom w:val="0"/>
      <w:divBdr>
        <w:top w:val="none" w:sz="0" w:space="0" w:color="auto"/>
        <w:left w:val="none" w:sz="0" w:space="0" w:color="auto"/>
        <w:bottom w:val="none" w:sz="0" w:space="0" w:color="auto"/>
        <w:right w:val="none" w:sz="0" w:space="0" w:color="auto"/>
      </w:divBdr>
    </w:div>
    <w:div w:id="1631548111">
      <w:bodyDiv w:val="1"/>
      <w:marLeft w:val="0"/>
      <w:marRight w:val="0"/>
      <w:marTop w:val="0"/>
      <w:marBottom w:val="0"/>
      <w:divBdr>
        <w:top w:val="none" w:sz="0" w:space="0" w:color="auto"/>
        <w:left w:val="none" w:sz="0" w:space="0" w:color="auto"/>
        <w:bottom w:val="none" w:sz="0" w:space="0" w:color="auto"/>
        <w:right w:val="none" w:sz="0" w:space="0" w:color="auto"/>
      </w:divBdr>
    </w:div>
    <w:div w:id="1632131803">
      <w:bodyDiv w:val="1"/>
      <w:marLeft w:val="0"/>
      <w:marRight w:val="0"/>
      <w:marTop w:val="0"/>
      <w:marBottom w:val="0"/>
      <w:divBdr>
        <w:top w:val="none" w:sz="0" w:space="0" w:color="auto"/>
        <w:left w:val="none" w:sz="0" w:space="0" w:color="auto"/>
        <w:bottom w:val="none" w:sz="0" w:space="0" w:color="auto"/>
        <w:right w:val="none" w:sz="0" w:space="0" w:color="auto"/>
      </w:divBdr>
    </w:div>
    <w:div w:id="1633831407">
      <w:bodyDiv w:val="1"/>
      <w:marLeft w:val="0"/>
      <w:marRight w:val="0"/>
      <w:marTop w:val="0"/>
      <w:marBottom w:val="0"/>
      <w:divBdr>
        <w:top w:val="none" w:sz="0" w:space="0" w:color="auto"/>
        <w:left w:val="none" w:sz="0" w:space="0" w:color="auto"/>
        <w:bottom w:val="none" w:sz="0" w:space="0" w:color="auto"/>
        <w:right w:val="none" w:sz="0" w:space="0" w:color="auto"/>
      </w:divBdr>
    </w:div>
    <w:div w:id="1645088108">
      <w:bodyDiv w:val="1"/>
      <w:marLeft w:val="0"/>
      <w:marRight w:val="0"/>
      <w:marTop w:val="0"/>
      <w:marBottom w:val="0"/>
      <w:divBdr>
        <w:top w:val="none" w:sz="0" w:space="0" w:color="auto"/>
        <w:left w:val="none" w:sz="0" w:space="0" w:color="auto"/>
        <w:bottom w:val="none" w:sz="0" w:space="0" w:color="auto"/>
        <w:right w:val="none" w:sz="0" w:space="0" w:color="auto"/>
      </w:divBdr>
    </w:div>
    <w:div w:id="1647592239">
      <w:bodyDiv w:val="1"/>
      <w:marLeft w:val="0"/>
      <w:marRight w:val="0"/>
      <w:marTop w:val="0"/>
      <w:marBottom w:val="0"/>
      <w:divBdr>
        <w:top w:val="none" w:sz="0" w:space="0" w:color="auto"/>
        <w:left w:val="none" w:sz="0" w:space="0" w:color="auto"/>
        <w:bottom w:val="none" w:sz="0" w:space="0" w:color="auto"/>
        <w:right w:val="none" w:sz="0" w:space="0" w:color="auto"/>
      </w:divBdr>
    </w:div>
    <w:div w:id="1648975384">
      <w:bodyDiv w:val="1"/>
      <w:marLeft w:val="0"/>
      <w:marRight w:val="0"/>
      <w:marTop w:val="0"/>
      <w:marBottom w:val="0"/>
      <w:divBdr>
        <w:top w:val="none" w:sz="0" w:space="0" w:color="auto"/>
        <w:left w:val="none" w:sz="0" w:space="0" w:color="auto"/>
        <w:bottom w:val="none" w:sz="0" w:space="0" w:color="auto"/>
        <w:right w:val="none" w:sz="0" w:space="0" w:color="auto"/>
      </w:divBdr>
    </w:div>
    <w:div w:id="1651789093">
      <w:bodyDiv w:val="1"/>
      <w:marLeft w:val="0"/>
      <w:marRight w:val="0"/>
      <w:marTop w:val="0"/>
      <w:marBottom w:val="0"/>
      <w:divBdr>
        <w:top w:val="none" w:sz="0" w:space="0" w:color="auto"/>
        <w:left w:val="none" w:sz="0" w:space="0" w:color="auto"/>
        <w:bottom w:val="none" w:sz="0" w:space="0" w:color="auto"/>
        <w:right w:val="none" w:sz="0" w:space="0" w:color="auto"/>
      </w:divBdr>
      <w:divsChild>
        <w:div w:id="1302029882">
          <w:marLeft w:val="0"/>
          <w:marRight w:val="0"/>
          <w:marTop w:val="0"/>
          <w:marBottom w:val="0"/>
          <w:divBdr>
            <w:top w:val="none" w:sz="0" w:space="0" w:color="auto"/>
            <w:left w:val="none" w:sz="0" w:space="0" w:color="auto"/>
            <w:bottom w:val="none" w:sz="0" w:space="0" w:color="auto"/>
            <w:right w:val="none" w:sz="0" w:space="0" w:color="auto"/>
          </w:divBdr>
        </w:div>
      </w:divsChild>
    </w:div>
    <w:div w:id="1652443654">
      <w:bodyDiv w:val="1"/>
      <w:marLeft w:val="0"/>
      <w:marRight w:val="0"/>
      <w:marTop w:val="0"/>
      <w:marBottom w:val="0"/>
      <w:divBdr>
        <w:top w:val="none" w:sz="0" w:space="0" w:color="auto"/>
        <w:left w:val="none" w:sz="0" w:space="0" w:color="auto"/>
        <w:bottom w:val="none" w:sz="0" w:space="0" w:color="auto"/>
        <w:right w:val="none" w:sz="0" w:space="0" w:color="auto"/>
      </w:divBdr>
    </w:div>
    <w:div w:id="1653830116">
      <w:bodyDiv w:val="1"/>
      <w:marLeft w:val="0"/>
      <w:marRight w:val="0"/>
      <w:marTop w:val="0"/>
      <w:marBottom w:val="0"/>
      <w:divBdr>
        <w:top w:val="none" w:sz="0" w:space="0" w:color="auto"/>
        <w:left w:val="none" w:sz="0" w:space="0" w:color="auto"/>
        <w:bottom w:val="none" w:sz="0" w:space="0" w:color="auto"/>
        <w:right w:val="none" w:sz="0" w:space="0" w:color="auto"/>
      </w:divBdr>
    </w:div>
    <w:div w:id="1658923852">
      <w:bodyDiv w:val="1"/>
      <w:marLeft w:val="0"/>
      <w:marRight w:val="0"/>
      <w:marTop w:val="0"/>
      <w:marBottom w:val="0"/>
      <w:divBdr>
        <w:top w:val="none" w:sz="0" w:space="0" w:color="auto"/>
        <w:left w:val="none" w:sz="0" w:space="0" w:color="auto"/>
        <w:bottom w:val="none" w:sz="0" w:space="0" w:color="auto"/>
        <w:right w:val="none" w:sz="0" w:space="0" w:color="auto"/>
      </w:divBdr>
    </w:div>
    <w:div w:id="1660571524">
      <w:bodyDiv w:val="1"/>
      <w:marLeft w:val="0"/>
      <w:marRight w:val="0"/>
      <w:marTop w:val="0"/>
      <w:marBottom w:val="0"/>
      <w:divBdr>
        <w:top w:val="none" w:sz="0" w:space="0" w:color="auto"/>
        <w:left w:val="none" w:sz="0" w:space="0" w:color="auto"/>
        <w:bottom w:val="none" w:sz="0" w:space="0" w:color="auto"/>
        <w:right w:val="none" w:sz="0" w:space="0" w:color="auto"/>
      </w:divBdr>
    </w:div>
    <w:div w:id="1661081530">
      <w:bodyDiv w:val="1"/>
      <w:marLeft w:val="0"/>
      <w:marRight w:val="0"/>
      <w:marTop w:val="0"/>
      <w:marBottom w:val="0"/>
      <w:divBdr>
        <w:top w:val="none" w:sz="0" w:space="0" w:color="auto"/>
        <w:left w:val="none" w:sz="0" w:space="0" w:color="auto"/>
        <w:bottom w:val="none" w:sz="0" w:space="0" w:color="auto"/>
        <w:right w:val="none" w:sz="0" w:space="0" w:color="auto"/>
      </w:divBdr>
    </w:div>
    <w:div w:id="1661959953">
      <w:bodyDiv w:val="1"/>
      <w:marLeft w:val="0"/>
      <w:marRight w:val="0"/>
      <w:marTop w:val="0"/>
      <w:marBottom w:val="0"/>
      <w:divBdr>
        <w:top w:val="none" w:sz="0" w:space="0" w:color="auto"/>
        <w:left w:val="none" w:sz="0" w:space="0" w:color="auto"/>
        <w:bottom w:val="none" w:sz="0" w:space="0" w:color="auto"/>
        <w:right w:val="none" w:sz="0" w:space="0" w:color="auto"/>
      </w:divBdr>
    </w:div>
    <w:div w:id="1668560912">
      <w:bodyDiv w:val="1"/>
      <w:marLeft w:val="0"/>
      <w:marRight w:val="0"/>
      <w:marTop w:val="0"/>
      <w:marBottom w:val="0"/>
      <w:divBdr>
        <w:top w:val="none" w:sz="0" w:space="0" w:color="auto"/>
        <w:left w:val="none" w:sz="0" w:space="0" w:color="auto"/>
        <w:bottom w:val="none" w:sz="0" w:space="0" w:color="auto"/>
        <w:right w:val="none" w:sz="0" w:space="0" w:color="auto"/>
      </w:divBdr>
      <w:divsChild>
        <w:div w:id="264922128">
          <w:blockQuote w:val="1"/>
          <w:marLeft w:val="750"/>
          <w:marRight w:val="0"/>
          <w:marTop w:val="450"/>
          <w:marBottom w:val="450"/>
          <w:divBdr>
            <w:top w:val="none" w:sz="0" w:space="0" w:color="auto"/>
            <w:left w:val="single" w:sz="12" w:space="17" w:color="3F51B5"/>
            <w:bottom w:val="none" w:sz="0" w:space="0" w:color="auto"/>
            <w:right w:val="none" w:sz="0" w:space="0" w:color="auto"/>
          </w:divBdr>
        </w:div>
      </w:divsChild>
    </w:div>
    <w:div w:id="1669208947">
      <w:bodyDiv w:val="1"/>
      <w:marLeft w:val="0"/>
      <w:marRight w:val="0"/>
      <w:marTop w:val="0"/>
      <w:marBottom w:val="0"/>
      <w:divBdr>
        <w:top w:val="none" w:sz="0" w:space="0" w:color="auto"/>
        <w:left w:val="none" w:sz="0" w:space="0" w:color="auto"/>
        <w:bottom w:val="none" w:sz="0" w:space="0" w:color="auto"/>
        <w:right w:val="none" w:sz="0" w:space="0" w:color="auto"/>
      </w:divBdr>
    </w:div>
    <w:div w:id="1669750376">
      <w:bodyDiv w:val="1"/>
      <w:marLeft w:val="0"/>
      <w:marRight w:val="0"/>
      <w:marTop w:val="0"/>
      <w:marBottom w:val="0"/>
      <w:divBdr>
        <w:top w:val="none" w:sz="0" w:space="0" w:color="auto"/>
        <w:left w:val="none" w:sz="0" w:space="0" w:color="auto"/>
        <w:bottom w:val="none" w:sz="0" w:space="0" w:color="auto"/>
        <w:right w:val="none" w:sz="0" w:space="0" w:color="auto"/>
      </w:divBdr>
    </w:div>
    <w:div w:id="1671637703">
      <w:bodyDiv w:val="1"/>
      <w:marLeft w:val="0"/>
      <w:marRight w:val="0"/>
      <w:marTop w:val="0"/>
      <w:marBottom w:val="0"/>
      <w:divBdr>
        <w:top w:val="none" w:sz="0" w:space="0" w:color="auto"/>
        <w:left w:val="none" w:sz="0" w:space="0" w:color="auto"/>
        <w:bottom w:val="none" w:sz="0" w:space="0" w:color="auto"/>
        <w:right w:val="none" w:sz="0" w:space="0" w:color="auto"/>
      </w:divBdr>
    </w:div>
    <w:div w:id="1676764882">
      <w:bodyDiv w:val="1"/>
      <w:marLeft w:val="0"/>
      <w:marRight w:val="0"/>
      <w:marTop w:val="0"/>
      <w:marBottom w:val="0"/>
      <w:divBdr>
        <w:top w:val="none" w:sz="0" w:space="0" w:color="auto"/>
        <w:left w:val="none" w:sz="0" w:space="0" w:color="auto"/>
        <w:bottom w:val="none" w:sz="0" w:space="0" w:color="auto"/>
        <w:right w:val="none" w:sz="0" w:space="0" w:color="auto"/>
      </w:divBdr>
    </w:div>
    <w:div w:id="1680499299">
      <w:bodyDiv w:val="1"/>
      <w:marLeft w:val="0"/>
      <w:marRight w:val="0"/>
      <w:marTop w:val="0"/>
      <w:marBottom w:val="0"/>
      <w:divBdr>
        <w:top w:val="none" w:sz="0" w:space="0" w:color="auto"/>
        <w:left w:val="none" w:sz="0" w:space="0" w:color="auto"/>
        <w:bottom w:val="none" w:sz="0" w:space="0" w:color="auto"/>
        <w:right w:val="none" w:sz="0" w:space="0" w:color="auto"/>
      </w:divBdr>
    </w:div>
    <w:div w:id="1681003782">
      <w:bodyDiv w:val="1"/>
      <w:marLeft w:val="0"/>
      <w:marRight w:val="0"/>
      <w:marTop w:val="0"/>
      <w:marBottom w:val="0"/>
      <w:divBdr>
        <w:top w:val="none" w:sz="0" w:space="0" w:color="auto"/>
        <w:left w:val="none" w:sz="0" w:space="0" w:color="auto"/>
        <w:bottom w:val="none" w:sz="0" w:space="0" w:color="auto"/>
        <w:right w:val="none" w:sz="0" w:space="0" w:color="auto"/>
      </w:divBdr>
    </w:div>
    <w:div w:id="1686666588">
      <w:bodyDiv w:val="1"/>
      <w:marLeft w:val="0"/>
      <w:marRight w:val="0"/>
      <w:marTop w:val="0"/>
      <w:marBottom w:val="0"/>
      <w:divBdr>
        <w:top w:val="none" w:sz="0" w:space="0" w:color="auto"/>
        <w:left w:val="none" w:sz="0" w:space="0" w:color="auto"/>
        <w:bottom w:val="none" w:sz="0" w:space="0" w:color="auto"/>
        <w:right w:val="none" w:sz="0" w:space="0" w:color="auto"/>
      </w:divBdr>
    </w:div>
    <w:div w:id="1688603978">
      <w:bodyDiv w:val="1"/>
      <w:marLeft w:val="0"/>
      <w:marRight w:val="0"/>
      <w:marTop w:val="0"/>
      <w:marBottom w:val="0"/>
      <w:divBdr>
        <w:top w:val="none" w:sz="0" w:space="0" w:color="auto"/>
        <w:left w:val="none" w:sz="0" w:space="0" w:color="auto"/>
        <w:bottom w:val="none" w:sz="0" w:space="0" w:color="auto"/>
        <w:right w:val="none" w:sz="0" w:space="0" w:color="auto"/>
      </w:divBdr>
    </w:div>
    <w:div w:id="1696422571">
      <w:bodyDiv w:val="1"/>
      <w:marLeft w:val="0"/>
      <w:marRight w:val="0"/>
      <w:marTop w:val="0"/>
      <w:marBottom w:val="0"/>
      <w:divBdr>
        <w:top w:val="none" w:sz="0" w:space="0" w:color="auto"/>
        <w:left w:val="none" w:sz="0" w:space="0" w:color="auto"/>
        <w:bottom w:val="none" w:sz="0" w:space="0" w:color="auto"/>
        <w:right w:val="none" w:sz="0" w:space="0" w:color="auto"/>
      </w:divBdr>
    </w:div>
    <w:div w:id="1700662122">
      <w:bodyDiv w:val="1"/>
      <w:marLeft w:val="0"/>
      <w:marRight w:val="0"/>
      <w:marTop w:val="0"/>
      <w:marBottom w:val="0"/>
      <w:divBdr>
        <w:top w:val="none" w:sz="0" w:space="0" w:color="auto"/>
        <w:left w:val="none" w:sz="0" w:space="0" w:color="auto"/>
        <w:bottom w:val="none" w:sz="0" w:space="0" w:color="auto"/>
        <w:right w:val="none" w:sz="0" w:space="0" w:color="auto"/>
      </w:divBdr>
    </w:div>
    <w:div w:id="1702172162">
      <w:bodyDiv w:val="1"/>
      <w:marLeft w:val="0"/>
      <w:marRight w:val="0"/>
      <w:marTop w:val="0"/>
      <w:marBottom w:val="0"/>
      <w:divBdr>
        <w:top w:val="none" w:sz="0" w:space="0" w:color="auto"/>
        <w:left w:val="none" w:sz="0" w:space="0" w:color="auto"/>
        <w:bottom w:val="none" w:sz="0" w:space="0" w:color="auto"/>
        <w:right w:val="none" w:sz="0" w:space="0" w:color="auto"/>
      </w:divBdr>
    </w:div>
    <w:div w:id="1706443099">
      <w:bodyDiv w:val="1"/>
      <w:marLeft w:val="0"/>
      <w:marRight w:val="0"/>
      <w:marTop w:val="0"/>
      <w:marBottom w:val="0"/>
      <w:divBdr>
        <w:top w:val="none" w:sz="0" w:space="0" w:color="auto"/>
        <w:left w:val="none" w:sz="0" w:space="0" w:color="auto"/>
        <w:bottom w:val="none" w:sz="0" w:space="0" w:color="auto"/>
        <w:right w:val="none" w:sz="0" w:space="0" w:color="auto"/>
      </w:divBdr>
    </w:div>
    <w:div w:id="1707757716">
      <w:bodyDiv w:val="1"/>
      <w:marLeft w:val="0"/>
      <w:marRight w:val="0"/>
      <w:marTop w:val="0"/>
      <w:marBottom w:val="0"/>
      <w:divBdr>
        <w:top w:val="none" w:sz="0" w:space="0" w:color="auto"/>
        <w:left w:val="none" w:sz="0" w:space="0" w:color="auto"/>
        <w:bottom w:val="none" w:sz="0" w:space="0" w:color="auto"/>
        <w:right w:val="none" w:sz="0" w:space="0" w:color="auto"/>
      </w:divBdr>
    </w:div>
    <w:div w:id="1710758679">
      <w:bodyDiv w:val="1"/>
      <w:marLeft w:val="0"/>
      <w:marRight w:val="0"/>
      <w:marTop w:val="0"/>
      <w:marBottom w:val="0"/>
      <w:divBdr>
        <w:top w:val="none" w:sz="0" w:space="0" w:color="auto"/>
        <w:left w:val="none" w:sz="0" w:space="0" w:color="auto"/>
        <w:bottom w:val="none" w:sz="0" w:space="0" w:color="auto"/>
        <w:right w:val="none" w:sz="0" w:space="0" w:color="auto"/>
      </w:divBdr>
    </w:div>
    <w:div w:id="1720861978">
      <w:bodyDiv w:val="1"/>
      <w:marLeft w:val="0"/>
      <w:marRight w:val="0"/>
      <w:marTop w:val="0"/>
      <w:marBottom w:val="0"/>
      <w:divBdr>
        <w:top w:val="none" w:sz="0" w:space="0" w:color="auto"/>
        <w:left w:val="none" w:sz="0" w:space="0" w:color="auto"/>
        <w:bottom w:val="none" w:sz="0" w:space="0" w:color="auto"/>
        <w:right w:val="none" w:sz="0" w:space="0" w:color="auto"/>
      </w:divBdr>
    </w:div>
    <w:div w:id="1722636438">
      <w:bodyDiv w:val="1"/>
      <w:marLeft w:val="0"/>
      <w:marRight w:val="0"/>
      <w:marTop w:val="0"/>
      <w:marBottom w:val="0"/>
      <w:divBdr>
        <w:top w:val="none" w:sz="0" w:space="0" w:color="auto"/>
        <w:left w:val="none" w:sz="0" w:space="0" w:color="auto"/>
        <w:bottom w:val="none" w:sz="0" w:space="0" w:color="auto"/>
        <w:right w:val="none" w:sz="0" w:space="0" w:color="auto"/>
      </w:divBdr>
    </w:div>
    <w:div w:id="1725251710">
      <w:bodyDiv w:val="1"/>
      <w:marLeft w:val="0"/>
      <w:marRight w:val="0"/>
      <w:marTop w:val="0"/>
      <w:marBottom w:val="0"/>
      <w:divBdr>
        <w:top w:val="none" w:sz="0" w:space="0" w:color="auto"/>
        <w:left w:val="none" w:sz="0" w:space="0" w:color="auto"/>
        <w:bottom w:val="none" w:sz="0" w:space="0" w:color="auto"/>
        <w:right w:val="none" w:sz="0" w:space="0" w:color="auto"/>
      </w:divBdr>
    </w:div>
    <w:div w:id="1726905680">
      <w:bodyDiv w:val="1"/>
      <w:marLeft w:val="0"/>
      <w:marRight w:val="0"/>
      <w:marTop w:val="0"/>
      <w:marBottom w:val="0"/>
      <w:divBdr>
        <w:top w:val="none" w:sz="0" w:space="0" w:color="auto"/>
        <w:left w:val="none" w:sz="0" w:space="0" w:color="auto"/>
        <w:bottom w:val="none" w:sz="0" w:space="0" w:color="auto"/>
        <w:right w:val="none" w:sz="0" w:space="0" w:color="auto"/>
      </w:divBdr>
    </w:div>
    <w:div w:id="1734696401">
      <w:bodyDiv w:val="1"/>
      <w:marLeft w:val="0"/>
      <w:marRight w:val="0"/>
      <w:marTop w:val="0"/>
      <w:marBottom w:val="0"/>
      <w:divBdr>
        <w:top w:val="none" w:sz="0" w:space="0" w:color="auto"/>
        <w:left w:val="none" w:sz="0" w:space="0" w:color="auto"/>
        <w:bottom w:val="none" w:sz="0" w:space="0" w:color="auto"/>
        <w:right w:val="none" w:sz="0" w:space="0" w:color="auto"/>
      </w:divBdr>
    </w:div>
    <w:div w:id="1738623525">
      <w:bodyDiv w:val="1"/>
      <w:marLeft w:val="0"/>
      <w:marRight w:val="0"/>
      <w:marTop w:val="0"/>
      <w:marBottom w:val="0"/>
      <w:divBdr>
        <w:top w:val="none" w:sz="0" w:space="0" w:color="auto"/>
        <w:left w:val="none" w:sz="0" w:space="0" w:color="auto"/>
        <w:bottom w:val="none" w:sz="0" w:space="0" w:color="auto"/>
        <w:right w:val="none" w:sz="0" w:space="0" w:color="auto"/>
      </w:divBdr>
    </w:div>
    <w:div w:id="1739594772">
      <w:bodyDiv w:val="1"/>
      <w:marLeft w:val="0"/>
      <w:marRight w:val="0"/>
      <w:marTop w:val="0"/>
      <w:marBottom w:val="0"/>
      <w:divBdr>
        <w:top w:val="none" w:sz="0" w:space="0" w:color="auto"/>
        <w:left w:val="none" w:sz="0" w:space="0" w:color="auto"/>
        <w:bottom w:val="none" w:sz="0" w:space="0" w:color="auto"/>
        <w:right w:val="none" w:sz="0" w:space="0" w:color="auto"/>
      </w:divBdr>
    </w:div>
    <w:div w:id="1747144867">
      <w:bodyDiv w:val="1"/>
      <w:marLeft w:val="0"/>
      <w:marRight w:val="0"/>
      <w:marTop w:val="0"/>
      <w:marBottom w:val="0"/>
      <w:divBdr>
        <w:top w:val="none" w:sz="0" w:space="0" w:color="auto"/>
        <w:left w:val="none" w:sz="0" w:space="0" w:color="auto"/>
        <w:bottom w:val="none" w:sz="0" w:space="0" w:color="auto"/>
        <w:right w:val="none" w:sz="0" w:space="0" w:color="auto"/>
      </w:divBdr>
    </w:div>
    <w:div w:id="1747461273">
      <w:bodyDiv w:val="1"/>
      <w:marLeft w:val="0"/>
      <w:marRight w:val="0"/>
      <w:marTop w:val="0"/>
      <w:marBottom w:val="0"/>
      <w:divBdr>
        <w:top w:val="none" w:sz="0" w:space="0" w:color="auto"/>
        <w:left w:val="none" w:sz="0" w:space="0" w:color="auto"/>
        <w:bottom w:val="none" w:sz="0" w:space="0" w:color="auto"/>
        <w:right w:val="none" w:sz="0" w:space="0" w:color="auto"/>
      </w:divBdr>
    </w:div>
    <w:div w:id="1755202374">
      <w:bodyDiv w:val="1"/>
      <w:marLeft w:val="0"/>
      <w:marRight w:val="0"/>
      <w:marTop w:val="0"/>
      <w:marBottom w:val="0"/>
      <w:divBdr>
        <w:top w:val="none" w:sz="0" w:space="0" w:color="auto"/>
        <w:left w:val="none" w:sz="0" w:space="0" w:color="auto"/>
        <w:bottom w:val="none" w:sz="0" w:space="0" w:color="auto"/>
        <w:right w:val="none" w:sz="0" w:space="0" w:color="auto"/>
      </w:divBdr>
    </w:div>
    <w:div w:id="1762750900">
      <w:bodyDiv w:val="1"/>
      <w:marLeft w:val="0"/>
      <w:marRight w:val="0"/>
      <w:marTop w:val="0"/>
      <w:marBottom w:val="0"/>
      <w:divBdr>
        <w:top w:val="none" w:sz="0" w:space="0" w:color="auto"/>
        <w:left w:val="none" w:sz="0" w:space="0" w:color="auto"/>
        <w:bottom w:val="none" w:sz="0" w:space="0" w:color="auto"/>
        <w:right w:val="none" w:sz="0" w:space="0" w:color="auto"/>
      </w:divBdr>
    </w:div>
    <w:div w:id="1762872231">
      <w:bodyDiv w:val="1"/>
      <w:marLeft w:val="0"/>
      <w:marRight w:val="0"/>
      <w:marTop w:val="0"/>
      <w:marBottom w:val="0"/>
      <w:divBdr>
        <w:top w:val="none" w:sz="0" w:space="0" w:color="auto"/>
        <w:left w:val="none" w:sz="0" w:space="0" w:color="auto"/>
        <w:bottom w:val="none" w:sz="0" w:space="0" w:color="auto"/>
        <w:right w:val="none" w:sz="0" w:space="0" w:color="auto"/>
      </w:divBdr>
    </w:div>
    <w:div w:id="1764841989">
      <w:bodyDiv w:val="1"/>
      <w:marLeft w:val="0"/>
      <w:marRight w:val="0"/>
      <w:marTop w:val="0"/>
      <w:marBottom w:val="0"/>
      <w:divBdr>
        <w:top w:val="none" w:sz="0" w:space="0" w:color="auto"/>
        <w:left w:val="none" w:sz="0" w:space="0" w:color="auto"/>
        <w:bottom w:val="none" w:sz="0" w:space="0" w:color="auto"/>
        <w:right w:val="none" w:sz="0" w:space="0" w:color="auto"/>
      </w:divBdr>
    </w:div>
    <w:div w:id="1769962832">
      <w:bodyDiv w:val="1"/>
      <w:marLeft w:val="0"/>
      <w:marRight w:val="0"/>
      <w:marTop w:val="0"/>
      <w:marBottom w:val="0"/>
      <w:divBdr>
        <w:top w:val="none" w:sz="0" w:space="0" w:color="auto"/>
        <w:left w:val="none" w:sz="0" w:space="0" w:color="auto"/>
        <w:bottom w:val="none" w:sz="0" w:space="0" w:color="auto"/>
        <w:right w:val="none" w:sz="0" w:space="0" w:color="auto"/>
      </w:divBdr>
    </w:div>
    <w:div w:id="1775784241">
      <w:bodyDiv w:val="1"/>
      <w:marLeft w:val="0"/>
      <w:marRight w:val="0"/>
      <w:marTop w:val="0"/>
      <w:marBottom w:val="0"/>
      <w:divBdr>
        <w:top w:val="none" w:sz="0" w:space="0" w:color="auto"/>
        <w:left w:val="none" w:sz="0" w:space="0" w:color="auto"/>
        <w:bottom w:val="none" w:sz="0" w:space="0" w:color="auto"/>
        <w:right w:val="none" w:sz="0" w:space="0" w:color="auto"/>
      </w:divBdr>
    </w:div>
    <w:div w:id="1780174949">
      <w:bodyDiv w:val="1"/>
      <w:marLeft w:val="0"/>
      <w:marRight w:val="0"/>
      <w:marTop w:val="0"/>
      <w:marBottom w:val="0"/>
      <w:divBdr>
        <w:top w:val="none" w:sz="0" w:space="0" w:color="auto"/>
        <w:left w:val="none" w:sz="0" w:space="0" w:color="auto"/>
        <w:bottom w:val="none" w:sz="0" w:space="0" w:color="auto"/>
        <w:right w:val="none" w:sz="0" w:space="0" w:color="auto"/>
      </w:divBdr>
    </w:div>
    <w:div w:id="1799764227">
      <w:bodyDiv w:val="1"/>
      <w:marLeft w:val="0"/>
      <w:marRight w:val="0"/>
      <w:marTop w:val="0"/>
      <w:marBottom w:val="0"/>
      <w:divBdr>
        <w:top w:val="none" w:sz="0" w:space="0" w:color="auto"/>
        <w:left w:val="none" w:sz="0" w:space="0" w:color="auto"/>
        <w:bottom w:val="none" w:sz="0" w:space="0" w:color="auto"/>
        <w:right w:val="none" w:sz="0" w:space="0" w:color="auto"/>
      </w:divBdr>
    </w:div>
    <w:div w:id="1809517580">
      <w:bodyDiv w:val="1"/>
      <w:marLeft w:val="0"/>
      <w:marRight w:val="0"/>
      <w:marTop w:val="0"/>
      <w:marBottom w:val="0"/>
      <w:divBdr>
        <w:top w:val="none" w:sz="0" w:space="0" w:color="auto"/>
        <w:left w:val="none" w:sz="0" w:space="0" w:color="auto"/>
        <w:bottom w:val="none" w:sz="0" w:space="0" w:color="auto"/>
        <w:right w:val="none" w:sz="0" w:space="0" w:color="auto"/>
      </w:divBdr>
    </w:div>
    <w:div w:id="1818499568">
      <w:bodyDiv w:val="1"/>
      <w:marLeft w:val="0"/>
      <w:marRight w:val="0"/>
      <w:marTop w:val="0"/>
      <w:marBottom w:val="0"/>
      <w:divBdr>
        <w:top w:val="none" w:sz="0" w:space="0" w:color="auto"/>
        <w:left w:val="none" w:sz="0" w:space="0" w:color="auto"/>
        <w:bottom w:val="none" w:sz="0" w:space="0" w:color="auto"/>
        <w:right w:val="none" w:sz="0" w:space="0" w:color="auto"/>
      </w:divBdr>
    </w:div>
    <w:div w:id="1824613541">
      <w:bodyDiv w:val="1"/>
      <w:marLeft w:val="0"/>
      <w:marRight w:val="0"/>
      <w:marTop w:val="0"/>
      <w:marBottom w:val="0"/>
      <w:divBdr>
        <w:top w:val="none" w:sz="0" w:space="0" w:color="auto"/>
        <w:left w:val="none" w:sz="0" w:space="0" w:color="auto"/>
        <w:bottom w:val="none" w:sz="0" w:space="0" w:color="auto"/>
        <w:right w:val="none" w:sz="0" w:space="0" w:color="auto"/>
      </w:divBdr>
    </w:div>
    <w:div w:id="1831797291">
      <w:bodyDiv w:val="1"/>
      <w:marLeft w:val="0"/>
      <w:marRight w:val="0"/>
      <w:marTop w:val="0"/>
      <w:marBottom w:val="0"/>
      <w:divBdr>
        <w:top w:val="none" w:sz="0" w:space="0" w:color="auto"/>
        <w:left w:val="none" w:sz="0" w:space="0" w:color="auto"/>
        <w:bottom w:val="none" w:sz="0" w:space="0" w:color="auto"/>
        <w:right w:val="none" w:sz="0" w:space="0" w:color="auto"/>
      </w:divBdr>
    </w:div>
    <w:div w:id="1832526238">
      <w:bodyDiv w:val="1"/>
      <w:marLeft w:val="0"/>
      <w:marRight w:val="0"/>
      <w:marTop w:val="0"/>
      <w:marBottom w:val="0"/>
      <w:divBdr>
        <w:top w:val="none" w:sz="0" w:space="0" w:color="auto"/>
        <w:left w:val="none" w:sz="0" w:space="0" w:color="auto"/>
        <w:bottom w:val="none" w:sz="0" w:space="0" w:color="auto"/>
        <w:right w:val="none" w:sz="0" w:space="0" w:color="auto"/>
      </w:divBdr>
    </w:div>
    <w:div w:id="1835343091">
      <w:bodyDiv w:val="1"/>
      <w:marLeft w:val="0"/>
      <w:marRight w:val="0"/>
      <w:marTop w:val="0"/>
      <w:marBottom w:val="0"/>
      <w:divBdr>
        <w:top w:val="none" w:sz="0" w:space="0" w:color="auto"/>
        <w:left w:val="none" w:sz="0" w:space="0" w:color="auto"/>
        <w:bottom w:val="none" w:sz="0" w:space="0" w:color="auto"/>
        <w:right w:val="none" w:sz="0" w:space="0" w:color="auto"/>
      </w:divBdr>
    </w:div>
    <w:div w:id="1838156819">
      <w:bodyDiv w:val="1"/>
      <w:marLeft w:val="0"/>
      <w:marRight w:val="0"/>
      <w:marTop w:val="0"/>
      <w:marBottom w:val="0"/>
      <w:divBdr>
        <w:top w:val="none" w:sz="0" w:space="0" w:color="auto"/>
        <w:left w:val="none" w:sz="0" w:space="0" w:color="auto"/>
        <w:bottom w:val="none" w:sz="0" w:space="0" w:color="auto"/>
        <w:right w:val="none" w:sz="0" w:space="0" w:color="auto"/>
      </w:divBdr>
    </w:div>
    <w:div w:id="1839419069">
      <w:bodyDiv w:val="1"/>
      <w:marLeft w:val="0"/>
      <w:marRight w:val="0"/>
      <w:marTop w:val="0"/>
      <w:marBottom w:val="0"/>
      <w:divBdr>
        <w:top w:val="none" w:sz="0" w:space="0" w:color="auto"/>
        <w:left w:val="none" w:sz="0" w:space="0" w:color="auto"/>
        <w:bottom w:val="none" w:sz="0" w:space="0" w:color="auto"/>
        <w:right w:val="none" w:sz="0" w:space="0" w:color="auto"/>
      </w:divBdr>
    </w:div>
    <w:div w:id="1851523498">
      <w:bodyDiv w:val="1"/>
      <w:marLeft w:val="0"/>
      <w:marRight w:val="0"/>
      <w:marTop w:val="0"/>
      <w:marBottom w:val="0"/>
      <w:divBdr>
        <w:top w:val="none" w:sz="0" w:space="0" w:color="auto"/>
        <w:left w:val="none" w:sz="0" w:space="0" w:color="auto"/>
        <w:bottom w:val="none" w:sz="0" w:space="0" w:color="auto"/>
        <w:right w:val="none" w:sz="0" w:space="0" w:color="auto"/>
      </w:divBdr>
    </w:div>
    <w:div w:id="1851794059">
      <w:bodyDiv w:val="1"/>
      <w:marLeft w:val="0"/>
      <w:marRight w:val="0"/>
      <w:marTop w:val="0"/>
      <w:marBottom w:val="0"/>
      <w:divBdr>
        <w:top w:val="none" w:sz="0" w:space="0" w:color="auto"/>
        <w:left w:val="none" w:sz="0" w:space="0" w:color="auto"/>
        <w:bottom w:val="none" w:sz="0" w:space="0" w:color="auto"/>
        <w:right w:val="none" w:sz="0" w:space="0" w:color="auto"/>
      </w:divBdr>
    </w:div>
    <w:div w:id="1855266116">
      <w:bodyDiv w:val="1"/>
      <w:marLeft w:val="0"/>
      <w:marRight w:val="0"/>
      <w:marTop w:val="0"/>
      <w:marBottom w:val="0"/>
      <w:divBdr>
        <w:top w:val="none" w:sz="0" w:space="0" w:color="auto"/>
        <w:left w:val="none" w:sz="0" w:space="0" w:color="auto"/>
        <w:bottom w:val="none" w:sz="0" w:space="0" w:color="auto"/>
        <w:right w:val="none" w:sz="0" w:space="0" w:color="auto"/>
      </w:divBdr>
    </w:div>
    <w:div w:id="1856265640">
      <w:bodyDiv w:val="1"/>
      <w:marLeft w:val="0"/>
      <w:marRight w:val="0"/>
      <w:marTop w:val="0"/>
      <w:marBottom w:val="0"/>
      <w:divBdr>
        <w:top w:val="none" w:sz="0" w:space="0" w:color="auto"/>
        <w:left w:val="none" w:sz="0" w:space="0" w:color="auto"/>
        <w:bottom w:val="none" w:sz="0" w:space="0" w:color="auto"/>
        <w:right w:val="none" w:sz="0" w:space="0" w:color="auto"/>
      </w:divBdr>
    </w:div>
    <w:div w:id="1866475550">
      <w:bodyDiv w:val="1"/>
      <w:marLeft w:val="0"/>
      <w:marRight w:val="0"/>
      <w:marTop w:val="0"/>
      <w:marBottom w:val="0"/>
      <w:divBdr>
        <w:top w:val="none" w:sz="0" w:space="0" w:color="auto"/>
        <w:left w:val="none" w:sz="0" w:space="0" w:color="auto"/>
        <w:bottom w:val="none" w:sz="0" w:space="0" w:color="auto"/>
        <w:right w:val="none" w:sz="0" w:space="0" w:color="auto"/>
      </w:divBdr>
    </w:div>
    <w:div w:id="1875387413">
      <w:bodyDiv w:val="1"/>
      <w:marLeft w:val="0"/>
      <w:marRight w:val="0"/>
      <w:marTop w:val="0"/>
      <w:marBottom w:val="0"/>
      <w:divBdr>
        <w:top w:val="none" w:sz="0" w:space="0" w:color="auto"/>
        <w:left w:val="none" w:sz="0" w:space="0" w:color="auto"/>
        <w:bottom w:val="none" w:sz="0" w:space="0" w:color="auto"/>
        <w:right w:val="none" w:sz="0" w:space="0" w:color="auto"/>
      </w:divBdr>
    </w:div>
    <w:div w:id="1878273082">
      <w:bodyDiv w:val="1"/>
      <w:marLeft w:val="0"/>
      <w:marRight w:val="0"/>
      <w:marTop w:val="0"/>
      <w:marBottom w:val="0"/>
      <w:divBdr>
        <w:top w:val="none" w:sz="0" w:space="0" w:color="auto"/>
        <w:left w:val="none" w:sz="0" w:space="0" w:color="auto"/>
        <w:bottom w:val="none" w:sz="0" w:space="0" w:color="auto"/>
        <w:right w:val="none" w:sz="0" w:space="0" w:color="auto"/>
      </w:divBdr>
    </w:div>
    <w:div w:id="1879929282">
      <w:bodyDiv w:val="1"/>
      <w:marLeft w:val="0"/>
      <w:marRight w:val="0"/>
      <w:marTop w:val="0"/>
      <w:marBottom w:val="0"/>
      <w:divBdr>
        <w:top w:val="none" w:sz="0" w:space="0" w:color="auto"/>
        <w:left w:val="none" w:sz="0" w:space="0" w:color="auto"/>
        <w:bottom w:val="none" w:sz="0" w:space="0" w:color="auto"/>
        <w:right w:val="none" w:sz="0" w:space="0" w:color="auto"/>
      </w:divBdr>
    </w:div>
    <w:div w:id="1881940427">
      <w:bodyDiv w:val="1"/>
      <w:marLeft w:val="0"/>
      <w:marRight w:val="0"/>
      <w:marTop w:val="0"/>
      <w:marBottom w:val="0"/>
      <w:divBdr>
        <w:top w:val="none" w:sz="0" w:space="0" w:color="auto"/>
        <w:left w:val="none" w:sz="0" w:space="0" w:color="auto"/>
        <w:bottom w:val="none" w:sz="0" w:space="0" w:color="auto"/>
        <w:right w:val="none" w:sz="0" w:space="0" w:color="auto"/>
      </w:divBdr>
    </w:div>
    <w:div w:id="1904176027">
      <w:bodyDiv w:val="1"/>
      <w:marLeft w:val="0"/>
      <w:marRight w:val="0"/>
      <w:marTop w:val="0"/>
      <w:marBottom w:val="0"/>
      <w:divBdr>
        <w:top w:val="none" w:sz="0" w:space="0" w:color="auto"/>
        <w:left w:val="none" w:sz="0" w:space="0" w:color="auto"/>
        <w:bottom w:val="none" w:sz="0" w:space="0" w:color="auto"/>
        <w:right w:val="none" w:sz="0" w:space="0" w:color="auto"/>
      </w:divBdr>
    </w:div>
    <w:div w:id="1904490121">
      <w:bodyDiv w:val="1"/>
      <w:marLeft w:val="0"/>
      <w:marRight w:val="0"/>
      <w:marTop w:val="0"/>
      <w:marBottom w:val="0"/>
      <w:divBdr>
        <w:top w:val="none" w:sz="0" w:space="0" w:color="auto"/>
        <w:left w:val="none" w:sz="0" w:space="0" w:color="auto"/>
        <w:bottom w:val="none" w:sz="0" w:space="0" w:color="auto"/>
        <w:right w:val="none" w:sz="0" w:space="0" w:color="auto"/>
      </w:divBdr>
    </w:div>
    <w:div w:id="1906527204">
      <w:bodyDiv w:val="1"/>
      <w:marLeft w:val="0"/>
      <w:marRight w:val="0"/>
      <w:marTop w:val="0"/>
      <w:marBottom w:val="0"/>
      <w:divBdr>
        <w:top w:val="none" w:sz="0" w:space="0" w:color="auto"/>
        <w:left w:val="none" w:sz="0" w:space="0" w:color="auto"/>
        <w:bottom w:val="none" w:sz="0" w:space="0" w:color="auto"/>
        <w:right w:val="none" w:sz="0" w:space="0" w:color="auto"/>
      </w:divBdr>
    </w:div>
    <w:div w:id="1907445996">
      <w:bodyDiv w:val="1"/>
      <w:marLeft w:val="0"/>
      <w:marRight w:val="0"/>
      <w:marTop w:val="0"/>
      <w:marBottom w:val="0"/>
      <w:divBdr>
        <w:top w:val="none" w:sz="0" w:space="0" w:color="auto"/>
        <w:left w:val="none" w:sz="0" w:space="0" w:color="auto"/>
        <w:bottom w:val="none" w:sz="0" w:space="0" w:color="auto"/>
        <w:right w:val="none" w:sz="0" w:space="0" w:color="auto"/>
      </w:divBdr>
    </w:div>
    <w:div w:id="1911229717">
      <w:bodyDiv w:val="1"/>
      <w:marLeft w:val="0"/>
      <w:marRight w:val="0"/>
      <w:marTop w:val="0"/>
      <w:marBottom w:val="0"/>
      <w:divBdr>
        <w:top w:val="none" w:sz="0" w:space="0" w:color="auto"/>
        <w:left w:val="none" w:sz="0" w:space="0" w:color="auto"/>
        <w:bottom w:val="none" w:sz="0" w:space="0" w:color="auto"/>
        <w:right w:val="none" w:sz="0" w:space="0" w:color="auto"/>
      </w:divBdr>
    </w:div>
    <w:div w:id="1917014008">
      <w:bodyDiv w:val="1"/>
      <w:marLeft w:val="0"/>
      <w:marRight w:val="0"/>
      <w:marTop w:val="0"/>
      <w:marBottom w:val="0"/>
      <w:divBdr>
        <w:top w:val="none" w:sz="0" w:space="0" w:color="auto"/>
        <w:left w:val="none" w:sz="0" w:space="0" w:color="auto"/>
        <w:bottom w:val="none" w:sz="0" w:space="0" w:color="auto"/>
        <w:right w:val="none" w:sz="0" w:space="0" w:color="auto"/>
      </w:divBdr>
    </w:div>
    <w:div w:id="1918130109">
      <w:bodyDiv w:val="1"/>
      <w:marLeft w:val="0"/>
      <w:marRight w:val="0"/>
      <w:marTop w:val="0"/>
      <w:marBottom w:val="0"/>
      <w:divBdr>
        <w:top w:val="none" w:sz="0" w:space="0" w:color="auto"/>
        <w:left w:val="none" w:sz="0" w:space="0" w:color="auto"/>
        <w:bottom w:val="none" w:sz="0" w:space="0" w:color="auto"/>
        <w:right w:val="none" w:sz="0" w:space="0" w:color="auto"/>
      </w:divBdr>
    </w:div>
    <w:div w:id="1921596142">
      <w:bodyDiv w:val="1"/>
      <w:marLeft w:val="0"/>
      <w:marRight w:val="0"/>
      <w:marTop w:val="0"/>
      <w:marBottom w:val="0"/>
      <w:divBdr>
        <w:top w:val="none" w:sz="0" w:space="0" w:color="auto"/>
        <w:left w:val="none" w:sz="0" w:space="0" w:color="auto"/>
        <w:bottom w:val="none" w:sz="0" w:space="0" w:color="auto"/>
        <w:right w:val="none" w:sz="0" w:space="0" w:color="auto"/>
      </w:divBdr>
    </w:div>
    <w:div w:id="1924878067">
      <w:bodyDiv w:val="1"/>
      <w:marLeft w:val="0"/>
      <w:marRight w:val="0"/>
      <w:marTop w:val="0"/>
      <w:marBottom w:val="0"/>
      <w:divBdr>
        <w:top w:val="none" w:sz="0" w:space="0" w:color="auto"/>
        <w:left w:val="none" w:sz="0" w:space="0" w:color="auto"/>
        <w:bottom w:val="none" w:sz="0" w:space="0" w:color="auto"/>
        <w:right w:val="none" w:sz="0" w:space="0" w:color="auto"/>
      </w:divBdr>
    </w:div>
    <w:div w:id="1932658255">
      <w:bodyDiv w:val="1"/>
      <w:marLeft w:val="0"/>
      <w:marRight w:val="0"/>
      <w:marTop w:val="0"/>
      <w:marBottom w:val="0"/>
      <w:divBdr>
        <w:top w:val="none" w:sz="0" w:space="0" w:color="auto"/>
        <w:left w:val="none" w:sz="0" w:space="0" w:color="auto"/>
        <w:bottom w:val="none" w:sz="0" w:space="0" w:color="auto"/>
        <w:right w:val="none" w:sz="0" w:space="0" w:color="auto"/>
      </w:divBdr>
    </w:div>
    <w:div w:id="1938753012">
      <w:bodyDiv w:val="1"/>
      <w:marLeft w:val="0"/>
      <w:marRight w:val="0"/>
      <w:marTop w:val="0"/>
      <w:marBottom w:val="0"/>
      <w:divBdr>
        <w:top w:val="none" w:sz="0" w:space="0" w:color="auto"/>
        <w:left w:val="none" w:sz="0" w:space="0" w:color="auto"/>
        <w:bottom w:val="none" w:sz="0" w:space="0" w:color="auto"/>
        <w:right w:val="none" w:sz="0" w:space="0" w:color="auto"/>
      </w:divBdr>
    </w:div>
    <w:div w:id="1939485093">
      <w:bodyDiv w:val="1"/>
      <w:marLeft w:val="0"/>
      <w:marRight w:val="0"/>
      <w:marTop w:val="0"/>
      <w:marBottom w:val="0"/>
      <w:divBdr>
        <w:top w:val="none" w:sz="0" w:space="0" w:color="auto"/>
        <w:left w:val="none" w:sz="0" w:space="0" w:color="auto"/>
        <w:bottom w:val="none" w:sz="0" w:space="0" w:color="auto"/>
        <w:right w:val="none" w:sz="0" w:space="0" w:color="auto"/>
      </w:divBdr>
    </w:div>
    <w:div w:id="1944991312">
      <w:bodyDiv w:val="1"/>
      <w:marLeft w:val="0"/>
      <w:marRight w:val="0"/>
      <w:marTop w:val="0"/>
      <w:marBottom w:val="0"/>
      <w:divBdr>
        <w:top w:val="none" w:sz="0" w:space="0" w:color="auto"/>
        <w:left w:val="none" w:sz="0" w:space="0" w:color="auto"/>
        <w:bottom w:val="none" w:sz="0" w:space="0" w:color="auto"/>
        <w:right w:val="none" w:sz="0" w:space="0" w:color="auto"/>
      </w:divBdr>
    </w:div>
    <w:div w:id="1947613345">
      <w:bodyDiv w:val="1"/>
      <w:marLeft w:val="0"/>
      <w:marRight w:val="0"/>
      <w:marTop w:val="0"/>
      <w:marBottom w:val="0"/>
      <w:divBdr>
        <w:top w:val="none" w:sz="0" w:space="0" w:color="auto"/>
        <w:left w:val="none" w:sz="0" w:space="0" w:color="auto"/>
        <w:bottom w:val="none" w:sz="0" w:space="0" w:color="auto"/>
        <w:right w:val="none" w:sz="0" w:space="0" w:color="auto"/>
      </w:divBdr>
    </w:div>
    <w:div w:id="1948005451">
      <w:bodyDiv w:val="1"/>
      <w:marLeft w:val="0"/>
      <w:marRight w:val="0"/>
      <w:marTop w:val="0"/>
      <w:marBottom w:val="0"/>
      <w:divBdr>
        <w:top w:val="none" w:sz="0" w:space="0" w:color="auto"/>
        <w:left w:val="none" w:sz="0" w:space="0" w:color="auto"/>
        <w:bottom w:val="none" w:sz="0" w:space="0" w:color="auto"/>
        <w:right w:val="none" w:sz="0" w:space="0" w:color="auto"/>
      </w:divBdr>
    </w:div>
    <w:div w:id="1968274433">
      <w:bodyDiv w:val="1"/>
      <w:marLeft w:val="0"/>
      <w:marRight w:val="0"/>
      <w:marTop w:val="0"/>
      <w:marBottom w:val="0"/>
      <w:divBdr>
        <w:top w:val="none" w:sz="0" w:space="0" w:color="auto"/>
        <w:left w:val="none" w:sz="0" w:space="0" w:color="auto"/>
        <w:bottom w:val="none" w:sz="0" w:space="0" w:color="auto"/>
        <w:right w:val="none" w:sz="0" w:space="0" w:color="auto"/>
      </w:divBdr>
    </w:div>
    <w:div w:id="1970820191">
      <w:bodyDiv w:val="1"/>
      <w:marLeft w:val="0"/>
      <w:marRight w:val="0"/>
      <w:marTop w:val="0"/>
      <w:marBottom w:val="0"/>
      <w:divBdr>
        <w:top w:val="none" w:sz="0" w:space="0" w:color="auto"/>
        <w:left w:val="none" w:sz="0" w:space="0" w:color="auto"/>
        <w:bottom w:val="none" w:sz="0" w:space="0" w:color="auto"/>
        <w:right w:val="none" w:sz="0" w:space="0" w:color="auto"/>
      </w:divBdr>
    </w:div>
    <w:div w:id="1972783842">
      <w:bodyDiv w:val="1"/>
      <w:marLeft w:val="0"/>
      <w:marRight w:val="0"/>
      <w:marTop w:val="0"/>
      <w:marBottom w:val="0"/>
      <w:divBdr>
        <w:top w:val="none" w:sz="0" w:space="0" w:color="auto"/>
        <w:left w:val="none" w:sz="0" w:space="0" w:color="auto"/>
        <w:bottom w:val="none" w:sz="0" w:space="0" w:color="auto"/>
        <w:right w:val="none" w:sz="0" w:space="0" w:color="auto"/>
      </w:divBdr>
    </w:div>
    <w:div w:id="1973290093">
      <w:bodyDiv w:val="1"/>
      <w:marLeft w:val="0"/>
      <w:marRight w:val="0"/>
      <w:marTop w:val="0"/>
      <w:marBottom w:val="0"/>
      <w:divBdr>
        <w:top w:val="none" w:sz="0" w:space="0" w:color="auto"/>
        <w:left w:val="none" w:sz="0" w:space="0" w:color="auto"/>
        <w:bottom w:val="none" w:sz="0" w:space="0" w:color="auto"/>
        <w:right w:val="none" w:sz="0" w:space="0" w:color="auto"/>
      </w:divBdr>
    </w:div>
    <w:div w:id="1977564574">
      <w:bodyDiv w:val="1"/>
      <w:marLeft w:val="0"/>
      <w:marRight w:val="0"/>
      <w:marTop w:val="0"/>
      <w:marBottom w:val="0"/>
      <w:divBdr>
        <w:top w:val="none" w:sz="0" w:space="0" w:color="auto"/>
        <w:left w:val="none" w:sz="0" w:space="0" w:color="auto"/>
        <w:bottom w:val="none" w:sz="0" w:space="0" w:color="auto"/>
        <w:right w:val="none" w:sz="0" w:space="0" w:color="auto"/>
      </w:divBdr>
    </w:div>
    <w:div w:id="1978340747">
      <w:bodyDiv w:val="1"/>
      <w:marLeft w:val="0"/>
      <w:marRight w:val="0"/>
      <w:marTop w:val="0"/>
      <w:marBottom w:val="0"/>
      <w:divBdr>
        <w:top w:val="none" w:sz="0" w:space="0" w:color="auto"/>
        <w:left w:val="none" w:sz="0" w:space="0" w:color="auto"/>
        <w:bottom w:val="none" w:sz="0" w:space="0" w:color="auto"/>
        <w:right w:val="none" w:sz="0" w:space="0" w:color="auto"/>
      </w:divBdr>
    </w:div>
    <w:div w:id="1979066826">
      <w:bodyDiv w:val="1"/>
      <w:marLeft w:val="0"/>
      <w:marRight w:val="0"/>
      <w:marTop w:val="0"/>
      <w:marBottom w:val="0"/>
      <w:divBdr>
        <w:top w:val="none" w:sz="0" w:space="0" w:color="auto"/>
        <w:left w:val="none" w:sz="0" w:space="0" w:color="auto"/>
        <w:bottom w:val="none" w:sz="0" w:space="0" w:color="auto"/>
        <w:right w:val="none" w:sz="0" w:space="0" w:color="auto"/>
      </w:divBdr>
    </w:div>
    <w:div w:id="1983387760">
      <w:bodyDiv w:val="1"/>
      <w:marLeft w:val="0"/>
      <w:marRight w:val="0"/>
      <w:marTop w:val="0"/>
      <w:marBottom w:val="0"/>
      <w:divBdr>
        <w:top w:val="none" w:sz="0" w:space="0" w:color="auto"/>
        <w:left w:val="none" w:sz="0" w:space="0" w:color="auto"/>
        <w:bottom w:val="none" w:sz="0" w:space="0" w:color="auto"/>
        <w:right w:val="none" w:sz="0" w:space="0" w:color="auto"/>
      </w:divBdr>
    </w:div>
    <w:div w:id="1985236396">
      <w:bodyDiv w:val="1"/>
      <w:marLeft w:val="0"/>
      <w:marRight w:val="0"/>
      <w:marTop w:val="0"/>
      <w:marBottom w:val="0"/>
      <w:divBdr>
        <w:top w:val="none" w:sz="0" w:space="0" w:color="auto"/>
        <w:left w:val="none" w:sz="0" w:space="0" w:color="auto"/>
        <w:bottom w:val="none" w:sz="0" w:space="0" w:color="auto"/>
        <w:right w:val="none" w:sz="0" w:space="0" w:color="auto"/>
      </w:divBdr>
    </w:div>
    <w:div w:id="1992367451">
      <w:bodyDiv w:val="1"/>
      <w:marLeft w:val="0"/>
      <w:marRight w:val="0"/>
      <w:marTop w:val="0"/>
      <w:marBottom w:val="0"/>
      <w:divBdr>
        <w:top w:val="none" w:sz="0" w:space="0" w:color="auto"/>
        <w:left w:val="none" w:sz="0" w:space="0" w:color="auto"/>
        <w:bottom w:val="none" w:sz="0" w:space="0" w:color="auto"/>
        <w:right w:val="none" w:sz="0" w:space="0" w:color="auto"/>
      </w:divBdr>
    </w:div>
    <w:div w:id="1995794095">
      <w:bodyDiv w:val="1"/>
      <w:marLeft w:val="0"/>
      <w:marRight w:val="0"/>
      <w:marTop w:val="0"/>
      <w:marBottom w:val="0"/>
      <w:divBdr>
        <w:top w:val="none" w:sz="0" w:space="0" w:color="auto"/>
        <w:left w:val="none" w:sz="0" w:space="0" w:color="auto"/>
        <w:bottom w:val="none" w:sz="0" w:space="0" w:color="auto"/>
        <w:right w:val="none" w:sz="0" w:space="0" w:color="auto"/>
      </w:divBdr>
    </w:div>
    <w:div w:id="2006005426">
      <w:bodyDiv w:val="1"/>
      <w:marLeft w:val="0"/>
      <w:marRight w:val="0"/>
      <w:marTop w:val="0"/>
      <w:marBottom w:val="0"/>
      <w:divBdr>
        <w:top w:val="none" w:sz="0" w:space="0" w:color="auto"/>
        <w:left w:val="none" w:sz="0" w:space="0" w:color="auto"/>
        <w:bottom w:val="none" w:sz="0" w:space="0" w:color="auto"/>
        <w:right w:val="none" w:sz="0" w:space="0" w:color="auto"/>
      </w:divBdr>
    </w:div>
    <w:div w:id="2007827570">
      <w:bodyDiv w:val="1"/>
      <w:marLeft w:val="0"/>
      <w:marRight w:val="0"/>
      <w:marTop w:val="0"/>
      <w:marBottom w:val="0"/>
      <w:divBdr>
        <w:top w:val="none" w:sz="0" w:space="0" w:color="auto"/>
        <w:left w:val="none" w:sz="0" w:space="0" w:color="auto"/>
        <w:bottom w:val="none" w:sz="0" w:space="0" w:color="auto"/>
        <w:right w:val="none" w:sz="0" w:space="0" w:color="auto"/>
      </w:divBdr>
    </w:div>
    <w:div w:id="2028830477">
      <w:bodyDiv w:val="1"/>
      <w:marLeft w:val="0"/>
      <w:marRight w:val="0"/>
      <w:marTop w:val="0"/>
      <w:marBottom w:val="0"/>
      <w:divBdr>
        <w:top w:val="none" w:sz="0" w:space="0" w:color="auto"/>
        <w:left w:val="none" w:sz="0" w:space="0" w:color="auto"/>
        <w:bottom w:val="none" w:sz="0" w:space="0" w:color="auto"/>
        <w:right w:val="none" w:sz="0" w:space="0" w:color="auto"/>
      </w:divBdr>
    </w:div>
    <w:div w:id="2029210532">
      <w:bodyDiv w:val="1"/>
      <w:marLeft w:val="0"/>
      <w:marRight w:val="0"/>
      <w:marTop w:val="0"/>
      <w:marBottom w:val="0"/>
      <w:divBdr>
        <w:top w:val="none" w:sz="0" w:space="0" w:color="auto"/>
        <w:left w:val="none" w:sz="0" w:space="0" w:color="auto"/>
        <w:bottom w:val="none" w:sz="0" w:space="0" w:color="auto"/>
        <w:right w:val="none" w:sz="0" w:space="0" w:color="auto"/>
      </w:divBdr>
    </w:div>
    <w:div w:id="2037920316">
      <w:bodyDiv w:val="1"/>
      <w:marLeft w:val="0"/>
      <w:marRight w:val="0"/>
      <w:marTop w:val="0"/>
      <w:marBottom w:val="0"/>
      <w:divBdr>
        <w:top w:val="none" w:sz="0" w:space="0" w:color="auto"/>
        <w:left w:val="none" w:sz="0" w:space="0" w:color="auto"/>
        <w:bottom w:val="none" w:sz="0" w:space="0" w:color="auto"/>
        <w:right w:val="none" w:sz="0" w:space="0" w:color="auto"/>
      </w:divBdr>
    </w:div>
    <w:div w:id="2045208672">
      <w:bodyDiv w:val="1"/>
      <w:marLeft w:val="0"/>
      <w:marRight w:val="0"/>
      <w:marTop w:val="0"/>
      <w:marBottom w:val="0"/>
      <w:divBdr>
        <w:top w:val="none" w:sz="0" w:space="0" w:color="auto"/>
        <w:left w:val="none" w:sz="0" w:space="0" w:color="auto"/>
        <w:bottom w:val="none" w:sz="0" w:space="0" w:color="auto"/>
        <w:right w:val="none" w:sz="0" w:space="0" w:color="auto"/>
      </w:divBdr>
    </w:div>
    <w:div w:id="2058773288">
      <w:bodyDiv w:val="1"/>
      <w:marLeft w:val="0"/>
      <w:marRight w:val="0"/>
      <w:marTop w:val="0"/>
      <w:marBottom w:val="0"/>
      <w:divBdr>
        <w:top w:val="none" w:sz="0" w:space="0" w:color="auto"/>
        <w:left w:val="none" w:sz="0" w:space="0" w:color="auto"/>
        <w:bottom w:val="none" w:sz="0" w:space="0" w:color="auto"/>
        <w:right w:val="none" w:sz="0" w:space="0" w:color="auto"/>
      </w:divBdr>
    </w:div>
    <w:div w:id="2061586036">
      <w:bodyDiv w:val="1"/>
      <w:marLeft w:val="0"/>
      <w:marRight w:val="0"/>
      <w:marTop w:val="0"/>
      <w:marBottom w:val="0"/>
      <w:divBdr>
        <w:top w:val="none" w:sz="0" w:space="0" w:color="auto"/>
        <w:left w:val="none" w:sz="0" w:space="0" w:color="auto"/>
        <w:bottom w:val="none" w:sz="0" w:space="0" w:color="auto"/>
        <w:right w:val="none" w:sz="0" w:space="0" w:color="auto"/>
      </w:divBdr>
    </w:div>
    <w:div w:id="2062243945">
      <w:bodyDiv w:val="1"/>
      <w:marLeft w:val="0"/>
      <w:marRight w:val="0"/>
      <w:marTop w:val="0"/>
      <w:marBottom w:val="0"/>
      <w:divBdr>
        <w:top w:val="none" w:sz="0" w:space="0" w:color="auto"/>
        <w:left w:val="none" w:sz="0" w:space="0" w:color="auto"/>
        <w:bottom w:val="none" w:sz="0" w:space="0" w:color="auto"/>
        <w:right w:val="none" w:sz="0" w:space="0" w:color="auto"/>
      </w:divBdr>
    </w:div>
    <w:div w:id="2067561115">
      <w:bodyDiv w:val="1"/>
      <w:marLeft w:val="0"/>
      <w:marRight w:val="0"/>
      <w:marTop w:val="0"/>
      <w:marBottom w:val="0"/>
      <w:divBdr>
        <w:top w:val="none" w:sz="0" w:space="0" w:color="auto"/>
        <w:left w:val="none" w:sz="0" w:space="0" w:color="auto"/>
        <w:bottom w:val="none" w:sz="0" w:space="0" w:color="auto"/>
        <w:right w:val="none" w:sz="0" w:space="0" w:color="auto"/>
      </w:divBdr>
    </w:div>
    <w:div w:id="2079278065">
      <w:bodyDiv w:val="1"/>
      <w:marLeft w:val="0"/>
      <w:marRight w:val="0"/>
      <w:marTop w:val="0"/>
      <w:marBottom w:val="0"/>
      <w:divBdr>
        <w:top w:val="none" w:sz="0" w:space="0" w:color="auto"/>
        <w:left w:val="none" w:sz="0" w:space="0" w:color="auto"/>
        <w:bottom w:val="none" w:sz="0" w:space="0" w:color="auto"/>
        <w:right w:val="none" w:sz="0" w:space="0" w:color="auto"/>
      </w:divBdr>
    </w:div>
    <w:div w:id="2100052702">
      <w:bodyDiv w:val="1"/>
      <w:marLeft w:val="0"/>
      <w:marRight w:val="0"/>
      <w:marTop w:val="0"/>
      <w:marBottom w:val="0"/>
      <w:divBdr>
        <w:top w:val="none" w:sz="0" w:space="0" w:color="auto"/>
        <w:left w:val="none" w:sz="0" w:space="0" w:color="auto"/>
        <w:bottom w:val="none" w:sz="0" w:space="0" w:color="auto"/>
        <w:right w:val="none" w:sz="0" w:space="0" w:color="auto"/>
      </w:divBdr>
    </w:div>
    <w:div w:id="2102754560">
      <w:bodyDiv w:val="1"/>
      <w:marLeft w:val="0"/>
      <w:marRight w:val="0"/>
      <w:marTop w:val="0"/>
      <w:marBottom w:val="0"/>
      <w:divBdr>
        <w:top w:val="none" w:sz="0" w:space="0" w:color="auto"/>
        <w:left w:val="none" w:sz="0" w:space="0" w:color="auto"/>
        <w:bottom w:val="none" w:sz="0" w:space="0" w:color="auto"/>
        <w:right w:val="none" w:sz="0" w:space="0" w:color="auto"/>
      </w:divBdr>
    </w:div>
    <w:div w:id="2105566241">
      <w:bodyDiv w:val="1"/>
      <w:marLeft w:val="0"/>
      <w:marRight w:val="0"/>
      <w:marTop w:val="0"/>
      <w:marBottom w:val="0"/>
      <w:divBdr>
        <w:top w:val="none" w:sz="0" w:space="0" w:color="auto"/>
        <w:left w:val="none" w:sz="0" w:space="0" w:color="auto"/>
        <w:bottom w:val="none" w:sz="0" w:space="0" w:color="auto"/>
        <w:right w:val="none" w:sz="0" w:space="0" w:color="auto"/>
      </w:divBdr>
    </w:div>
    <w:div w:id="2106270099">
      <w:bodyDiv w:val="1"/>
      <w:marLeft w:val="0"/>
      <w:marRight w:val="0"/>
      <w:marTop w:val="0"/>
      <w:marBottom w:val="0"/>
      <w:divBdr>
        <w:top w:val="none" w:sz="0" w:space="0" w:color="auto"/>
        <w:left w:val="none" w:sz="0" w:space="0" w:color="auto"/>
        <w:bottom w:val="none" w:sz="0" w:space="0" w:color="auto"/>
        <w:right w:val="none" w:sz="0" w:space="0" w:color="auto"/>
      </w:divBdr>
    </w:div>
    <w:div w:id="2106463377">
      <w:bodyDiv w:val="1"/>
      <w:marLeft w:val="0"/>
      <w:marRight w:val="0"/>
      <w:marTop w:val="0"/>
      <w:marBottom w:val="0"/>
      <w:divBdr>
        <w:top w:val="none" w:sz="0" w:space="0" w:color="auto"/>
        <w:left w:val="none" w:sz="0" w:space="0" w:color="auto"/>
        <w:bottom w:val="none" w:sz="0" w:space="0" w:color="auto"/>
        <w:right w:val="none" w:sz="0" w:space="0" w:color="auto"/>
      </w:divBdr>
    </w:div>
    <w:div w:id="2112553372">
      <w:bodyDiv w:val="1"/>
      <w:marLeft w:val="0"/>
      <w:marRight w:val="0"/>
      <w:marTop w:val="0"/>
      <w:marBottom w:val="0"/>
      <w:divBdr>
        <w:top w:val="none" w:sz="0" w:space="0" w:color="auto"/>
        <w:left w:val="none" w:sz="0" w:space="0" w:color="auto"/>
        <w:bottom w:val="none" w:sz="0" w:space="0" w:color="auto"/>
        <w:right w:val="none" w:sz="0" w:space="0" w:color="auto"/>
      </w:divBdr>
    </w:div>
    <w:div w:id="2113352588">
      <w:bodyDiv w:val="1"/>
      <w:marLeft w:val="0"/>
      <w:marRight w:val="0"/>
      <w:marTop w:val="0"/>
      <w:marBottom w:val="0"/>
      <w:divBdr>
        <w:top w:val="none" w:sz="0" w:space="0" w:color="auto"/>
        <w:left w:val="none" w:sz="0" w:space="0" w:color="auto"/>
        <w:bottom w:val="none" w:sz="0" w:space="0" w:color="auto"/>
        <w:right w:val="none" w:sz="0" w:space="0" w:color="auto"/>
      </w:divBdr>
    </w:div>
    <w:div w:id="2119643028">
      <w:bodyDiv w:val="1"/>
      <w:marLeft w:val="0"/>
      <w:marRight w:val="0"/>
      <w:marTop w:val="0"/>
      <w:marBottom w:val="0"/>
      <w:divBdr>
        <w:top w:val="none" w:sz="0" w:space="0" w:color="auto"/>
        <w:left w:val="none" w:sz="0" w:space="0" w:color="auto"/>
        <w:bottom w:val="none" w:sz="0" w:space="0" w:color="auto"/>
        <w:right w:val="none" w:sz="0" w:space="0" w:color="auto"/>
      </w:divBdr>
    </w:div>
    <w:div w:id="2123305890">
      <w:bodyDiv w:val="1"/>
      <w:marLeft w:val="0"/>
      <w:marRight w:val="0"/>
      <w:marTop w:val="0"/>
      <w:marBottom w:val="0"/>
      <w:divBdr>
        <w:top w:val="none" w:sz="0" w:space="0" w:color="auto"/>
        <w:left w:val="none" w:sz="0" w:space="0" w:color="auto"/>
        <w:bottom w:val="none" w:sz="0" w:space="0" w:color="auto"/>
        <w:right w:val="none" w:sz="0" w:space="0" w:color="auto"/>
      </w:divBdr>
    </w:div>
    <w:div w:id="2129006858">
      <w:bodyDiv w:val="1"/>
      <w:marLeft w:val="0"/>
      <w:marRight w:val="0"/>
      <w:marTop w:val="0"/>
      <w:marBottom w:val="0"/>
      <w:divBdr>
        <w:top w:val="none" w:sz="0" w:space="0" w:color="auto"/>
        <w:left w:val="none" w:sz="0" w:space="0" w:color="auto"/>
        <w:bottom w:val="none" w:sz="0" w:space="0" w:color="auto"/>
        <w:right w:val="none" w:sz="0" w:space="0" w:color="auto"/>
      </w:divBdr>
    </w:div>
    <w:div w:id="2129808264">
      <w:bodyDiv w:val="1"/>
      <w:marLeft w:val="0"/>
      <w:marRight w:val="0"/>
      <w:marTop w:val="0"/>
      <w:marBottom w:val="0"/>
      <w:divBdr>
        <w:top w:val="none" w:sz="0" w:space="0" w:color="auto"/>
        <w:left w:val="none" w:sz="0" w:space="0" w:color="auto"/>
        <w:bottom w:val="none" w:sz="0" w:space="0" w:color="auto"/>
        <w:right w:val="none" w:sz="0" w:space="0" w:color="auto"/>
      </w:divBdr>
    </w:div>
    <w:div w:id="2131393056">
      <w:bodyDiv w:val="1"/>
      <w:marLeft w:val="0"/>
      <w:marRight w:val="0"/>
      <w:marTop w:val="0"/>
      <w:marBottom w:val="0"/>
      <w:divBdr>
        <w:top w:val="none" w:sz="0" w:space="0" w:color="auto"/>
        <w:left w:val="none" w:sz="0" w:space="0" w:color="auto"/>
        <w:bottom w:val="none" w:sz="0" w:space="0" w:color="auto"/>
        <w:right w:val="none" w:sz="0" w:space="0" w:color="auto"/>
      </w:divBdr>
    </w:div>
    <w:div w:id="2131585173">
      <w:bodyDiv w:val="1"/>
      <w:marLeft w:val="0"/>
      <w:marRight w:val="0"/>
      <w:marTop w:val="0"/>
      <w:marBottom w:val="0"/>
      <w:divBdr>
        <w:top w:val="none" w:sz="0" w:space="0" w:color="auto"/>
        <w:left w:val="none" w:sz="0" w:space="0" w:color="auto"/>
        <w:bottom w:val="none" w:sz="0" w:space="0" w:color="auto"/>
        <w:right w:val="none" w:sz="0" w:space="0" w:color="auto"/>
      </w:divBdr>
    </w:div>
    <w:div w:id="2132622578">
      <w:bodyDiv w:val="1"/>
      <w:marLeft w:val="0"/>
      <w:marRight w:val="0"/>
      <w:marTop w:val="0"/>
      <w:marBottom w:val="0"/>
      <w:divBdr>
        <w:top w:val="none" w:sz="0" w:space="0" w:color="auto"/>
        <w:left w:val="none" w:sz="0" w:space="0" w:color="auto"/>
        <w:bottom w:val="none" w:sz="0" w:space="0" w:color="auto"/>
        <w:right w:val="none" w:sz="0" w:space="0" w:color="auto"/>
      </w:divBdr>
    </w:div>
    <w:div w:id="2137866353">
      <w:bodyDiv w:val="1"/>
      <w:marLeft w:val="0"/>
      <w:marRight w:val="0"/>
      <w:marTop w:val="0"/>
      <w:marBottom w:val="0"/>
      <w:divBdr>
        <w:top w:val="none" w:sz="0" w:space="0" w:color="auto"/>
        <w:left w:val="none" w:sz="0" w:space="0" w:color="auto"/>
        <w:bottom w:val="none" w:sz="0" w:space="0" w:color="auto"/>
        <w:right w:val="none" w:sz="0" w:space="0" w:color="auto"/>
      </w:divBdr>
    </w:div>
    <w:div w:id="2139882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gulation.gov.ru/Regulation/Npa/PublicView?npaID=15496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24C7BB-4DF9-4420-A4F6-BABE2E4CB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4498</Words>
  <Characters>25643</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 Козюков</dc:creator>
  <cp:keywords/>
  <dc:description/>
  <cp:lastModifiedBy>Ольга Владимировна Пшеленская</cp:lastModifiedBy>
  <cp:revision>2</cp:revision>
  <cp:lastPrinted>2025-03-17T05:01:00Z</cp:lastPrinted>
  <dcterms:created xsi:type="dcterms:W3CDTF">2025-03-25T04:40:00Z</dcterms:created>
  <dcterms:modified xsi:type="dcterms:W3CDTF">2025-03-25T04:40:00Z</dcterms:modified>
</cp:coreProperties>
</file>