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2F6596">
        <w:rPr>
          <w:rFonts w:ascii="PT Astra Serif" w:hAnsi="PT Astra Serif"/>
          <w:b/>
          <w:color w:val="000000" w:themeColor="text1"/>
        </w:rPr>
        <w:t>14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ED0BB9">
        <w:rPr>
          <w:rFonts w:ascii="PT Astra Serif" w:hAnsi="PT Astra Serif"/>
          <w:b/>
          <w:color w:val="000000" w:themeColor="text1"/>
        </w:rPr>
        <w:t>4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651AAB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6722A4" w:rsidP="002F6596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2F6596">
              <w:rPr>
                <w:rFonts w:ascii="PT Astra Serif" w:hAnsi="PT Astra Serif"/>
                <w:b/>
                <w:sz w:val="26"/>
                <w:szCs w:val="26"/>
              </w:rPr>
              <w:t>Письмо ФАС России от 07.04.2025 № 28/32029/25</w:t>
            </w:r>
          </w:p>
        </w:tc>
      </w:tr>
      <w:tr w:rsidR="00F22A47" w:rsidRPr="00582FD6" w:rsidTr="00651AAB">
        <w:trPr>
          <w:trHeight w:val="70"/>
        </w:trPr>
        <w:tc>
          <w:tcPr>
            <w:tcW w:w="10065" w:type="dxa"/>
            <w:gridSpan w:val="2"/>
          </w:tcPr>
          <w:p w:rsidR="00F22A47" w:rsidRPr="00582FD6" w:rsidRDefault="002F6596" w:rsidP="00234B4A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ФАС России разъяснила вопросы осуществления закупок на </w:t>
            </w:r>
            <w:r w:rsidR="00234B4A">
              <w:rPr>
                <w:rFonts w:ascii="PT Astra Serif" w:hAnsi="PT Astra Serif"/>
                <w:sz w:val="26"/>
                <w:szCs w:val="26"/>
              </w:rPr>
              <w:t>осуществление услуг по пересылке корреспонденции и передаче телеграммы</w:t>
            </w:r>
          </w:p>
        </w:tc>
      </w:tr>
      <w:tr w:rsidR="000F0B6F" w:rsidRPr="00E82117" w:rsidTr="00651AAB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D73FE7" w:rsidP="002F6596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234B4A"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01/01/04-25/00156083</w:t>
            </w:r>
          </w:p>
        </w:tc>
      </w:tr>
      <w:tr w:rsidR="000F0B6F" w:rsidRPr="00582FD6" w:rsidTr="00651AAB">
        <w:trPr>
          <w:trHeight w:val="70"/>
        </w:trPr>
        <w:tc>
          <w:tcPr>
            <w:tcW w:w="10065" w:type="dxa"/>
            <w:gridSpan w:val="2"/>
          </w:tcPr>
          <w:p w:rsidR="000F0B6F" w:rsidRPr="009B0509" w:rsidRDefault="00255E62" w:rsidP="002F6596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МЧС России разработало типовые условия контрактов на монтаж, обслуживание и ремонт противопожарных средств</w:t>
            </w:r>
          </w:p>
        </w:tc>
      </w:tr>
      <w:tr w:rsidR="001C1D6E" w:rsidRPr="00202938" w:rsidTr="00651AAB">
        <w:trPr>
          <w:trHeight w:val="47"/>
        </w:trPr>
        <w:tc>
          <w:tcPr>
            <w:tcW w:w="10065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5D4881" w:rsidRPr="00206A80" w:rsidTr="00AF2E07">
        <w:trPr>
          <w:trHeight w:val="138"/>
        </w:trPr>
        <w:tc>
          <w:tcPr>
            <w:tcW w:w="4395" w:type="dxa"/>
            <w:vAlign w:val="center"/>
          </w:tcPr>
          <w:p w:rsidR="005D4881" w:rsidRPr="00F30D1F" w:rsidRDefault="00BA50AC" w:rsidP="005D4881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№ 309-ЭС25-809 от 03.04.2025 по делу № А07-22878/2023</w:t>
            </w:r>
          </w:p>
        </w:tc>
        <w:tc>
          <w:tcPr>
            <w:tcW w:w="5670" w:type="dxa"/>
          </w:tcPr>
          <w:p w:rsidR="005D4881" w:rsidRPr="00375686" w:rsidRDefault="00BA50AC" w:rsidP="005D488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Комиссия по осуществлению закупок обязана проверять наличие соответствующего уровня ответственности СРО у участника закупки на момент подачи заявок</w:t>
            </w:r>
          </w:p>
        </w:tc>
      </w:tr>
      <w:tr w:rsidR="00E42ABB" w:rsidRPr="00297D5D" w:rsidTr="00AF2E07">
        <w:trPr>
          <w:trHeight w:val="70"/>
        </w:trPr>
        <w:tc>
          <w:tcPr>
            <w:tcW w:w="4395" w:type="dxa"/>
            <w:vAlign w:val="center"/>
          </w:tcPr>
          <w:p w:rsidR="00E42ABB" w:rsidRDefault="00E42ABB" w:rsidP="00E42ABB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РФ от 02.04.2025 № 307-ЭС25-1564 по делу № А56-13658/2024</w:t>
            </w:r>
          </w:p>
        </w:tc>
        <w:tc>
          <w:tcPr>
            <w:tcW w:w="5670" w:type="dxa"/>
          </w:tcPr>
          <w:p w:rsidR="00E42ABB" w:rsidRPr="00C63DA9" w:rsidRDefault="00E42ABB" w:rsidP="00E42AB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0D07B1">
              <w:rPr>
                <w:rFonts w:ascii="PT Astra Serif" w:hAnsi="PT Astra Serif"/>
                <w:sz w:val="26"/>
                <w:szCs w:val="26"/>
              </w:rPr>
              <w:t>Решение антимонопольного органа отменено в связи с тем, что значения характеристик указанные в заявке, находятся в пределах диапазона допустимых значений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  <w:r w:rsidRPr="000D07B1">
              <w:rPr>
                <w:rFonts w:ascii="PT Astra Serif" w:hAnsi="PT Astra Serif"/>
                <w:sz w:val="26"/>
                <w:szCs w:val="26"/>
              </w:rPr>
              <w:t xml:space="preserve"> указанных в </w:t>
            </w:r>
            <w:r>
              <w:rPr>
                <w:rFonts w:ascii="PT Astra Serif" w:hAnsi="PT Astra Serif"/>
                <w:sz w:val="26"/>
                <w:szCs w:val="26"/>
              </w:rPr>
              <w:t>извещении</w:t>
            </w:r>
          </w:p>
        </w:tc>
      </w:tr>
      <w:tr w:rsidR="00E42ABB" w:rsidRPr="00297D5D" w:rsidTr="00AF2E07">
        <w:trPr>
          <w:trHeight w:val="70"/>
        </w:trPr>
        <w:tc>
          <w:tcPr>
            <w:tcW w:w="4395" w:type="dxa"/>
            <w:vAlign w:val="center"/>
          </w:tcPr>
          <w:p w:rsidR="00E42ABB" w:rsidRDefault="00E42ABB" w:rsidP="00E42ABB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РФ от 07.04.2025 № 306-ЭС25-146 по делу № А65-4516/2024</w:t>
            </w:r>
          </w:p>
        </w:tc>
        <w:tc>
          <w:tcPr>
            <w:tcW w:w="5670" w:type="dxa"/>
          </w:tcPr>
          <w:p w:rsidR="00E42ABB" w:rsidRPr="00A51F04" w:rsidRDefault="00E42ABB" w:rsidP="00E42AB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C63DA9">
              <w:rPr>
                <w:rFonts w:ascii="PT Astra Serif" w:hAnsi="PT Astra Serif"/>
                <w:sz w:val="26"/>
                <w:szCs w:val="26"/>
              </w:rPr>
              <w:t xml:space="preserve">В случае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когда </w:t>
            </w:r>
            <w:r w:rsidRPr="00C63DA9">
              <w:rPr>
                <w:rFonts w:ascii="PT Astra Serif" w:hAnsi="PT Astra Serif"/>
                <w:sz w:val="26"/>
                <w:szCs w:val="26"/>
              </w:rPr>
              <w:t>предметом заку</w:t>
            </w:r>
            <w:r>
              <w:rPr>
                <w:rFonts w:ascii="PT Astra Serif" w:hAnsi="PT Astra Serif"/>
                <w:sz w:val="26"/>
                <w:szCs w:val="26"/>
              </w:rPr>
              <w:t>пки являются разнородные товары и предметы, указание в описании закупки на то, что поставляемый товар должен соответствовать требованиям технических регламентов, положениям действующих стандартов, утвержденных в отношении данного вида товара на территории Российской Федерации, достаточно для потенциальных участников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5D4881" w:rsidRDefault="002F6596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Письмо ФАС России от 07.04.2025 № 28/32029/25 «О рассмотрении обращения»</w:t>
      </w:r>
    </w:p>
    <w:p w:rsidR="002F6596" w:rsidRPr="002F6596" w:rsidRDefault="002F6596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F6596">
        <w:rPr>
          <w:rFonts w:ascii="PT Astra Serif" w:hAnsi="PT Astra Serif"/>
          <w:sz w:val="26"/>
          <w:szCs w:val="26"/>
        </w:rPr>
        <w:t>ФАС России разъяснила вопросы осуществления закупок на поставку почтовых марок.</w:t>
      </w:r>
    </w:p>
    <w:p w:rsidR="002F6596" w:rsidRDefault="00241EF9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Согласно пункту 1 части 1 статьи 93 Закона № 44-ФЗ закупки у единственного поставщика (подрядчика, исполнителя) осуществляются заказчиком, если поставки товаров, выполнение работ, оказание услуг относится в соответствии с Законом о естественных монополиях к сфере деятельности естественных монополий.</w:t>
      </w:r>
    </w:p>
    <w:p w:rsidR="00241EF9" w:rsidRDefault="00241EF9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1 статьи 4 Закона о естественных монополиях к сфере деятельности субъектов естественных монополий отнесены услуги общедоступной электросвязи и общедоступной почтовой связи.</w:t>
      </w:r>
    </w:p>
    <w:p w:rsidR="00241EF9" w:rsidRDefault="00241EF9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постановлением Правительства РФ от 24.10.2005 № 637 «О государственном регулировании тарифов на услуги общедоступной электросвязи и общедоступной почтовой связи» к услугам общедоступной почтовой связи относятся услуги по пересылке внутренней письменной корреспонденции (почтовых карточек, писем, бандеролей) и передаче внутренней телеграммы.</w:t>
      </w:r>
    </w:p>
    <w:p w:rsidR="00241EF9" w:rsidRDefault="00241EF9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пунктом 24 Правил оказания услуг почтовой связи, утвержденных приказом Минцифры России от 31.07.2014 № 234, для подтверждения оплаты услуг почтовой связи по пересылке простой и заказной письменной корреспонденции, оказываемых организациями федеральной почтовой связи, применяются государственные знаки почтовой оплаты (далее – ГЗПО).</w:t>
      </w:r>
    </w:p>
    <w:p w:rsidR="00241EF9" w:rsidRDefault="00241EF9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 этом в качестве ГЗПО используются в том числе почтовые марки, наклеиваемые на письменную корреспонденцию или наносимые типографским способом на почтовые конверты и почтовые карточки, оттиски ГЗПО, наносимые франкировальными машинами.</w:t>
      </w:r>
    </w:p>
    <w:p w:rsidR="00241EF9" w:rsidRDefault="00241EF9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Учитывая, что ГЗПО является подтверждением оплаты оказанных услуг общедоступной связи, заказчик вправе осуществлять закупку ГЗПО</w:t>
      </w:r>
      <w:r w:rsidR="00234B4A">
        <w:rPr>
          <w:rFonts w:ascii="PT Astra Serif" w:hAnsi="PT Astra Serif"/>
          <w:sz w:val="26"/>
          <w:szCs w:val="26"/>
        </w:rPr>
        <w:t xml:space="preserve"> у единственного поставщика в рамках закупк</w:t>
      </w:r>
      <w:r w:rsidR="00364B05">
        <w:rPr>
          <w:rFonts w:ascii="PT Astra Serif" w:hAnsi="PT Astra Serif"/>
          <w:sz w:val="26"/>
          <w:szCs w:val="26"/>
        </w:rPr>
        <w:t>и</w:t>
      </w:r>
      <w:r w:rsidR="00234B4A">
        <w:rPr>
          <w:rFonts w:ascii="PT Astra Serif" w:hAnsi="PT Astra Serif"/>
          <w:sz w:val="26"/>
          <w:szCs w:val="26"/>
        </w:rPr>
        <w:t xml:space="preserve"> услуг по пересылке внутренней письменной корреспонденции (почтовых карточек, писем, бандеролей) и передаче внутренней телеграммы (единым лотом).</w:t>
      </w:r>
    </w:p>
    <w:p w:rsidR="00364B05" w:rsidRDefault="00364B05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55E62">
        <w:rPr>
          <w:rFonts w:ascii="PT Astra Serif" w:hAnsi="PT Astra Serif"/>
          <w:i/>
          <w:sz w:val="26"/>
          <w:szCs w:val="26"/>
        </w:rPr>
        <w:t>Проект постановления Правительства РФ № 01/01/04-25/00156083 «Об утверждении типовых условий контрактов на выполнение работ (оказание услуг) по монтажу, техническому обслуживанию и ремонту средств обеспечения пожарной безопасности зданий и сооружений»</w:t>
      </w: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55E62">
        <w:rPr>
          <w:rFonts w:ascii="PT Astra Serif" w:hAnsi="PT Astra Serif"/>
          <w:sz w:val="26"/>
          <w:szCs w:val="26"/>
        </w:rPr>
        <w:t xml:space="preserve">МЧС России разработало типовые условия контрактов на </w:t>
      </w:r>
      <w:r>
        <w:rPr>
          <w:rFonts w:ascii="PT Astra Serif" w:hAnsi="PT Astra Serif"/>
          <w:sz w:val="26"/>
          <w:szCs w:val="26"/>
        </w:rPr>
        <w:t xml:space="preserve">выполнение работ (оказание услуг) по монтажу техническому обслуживанию и ремонту средств обеспечения пожарной безопасности зданий и сооружений, а именно: </w:t>
      </w: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условия о правах и обязанностях исполнителя;</w:t>
      </w: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условия о правах и обязанностях заказчика;</w:t>
      </w: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условия о гарантии качества;</w:t>
      </w: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условия о цене контракта;</w:t>
      </w: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условия об изменении, расторжении контракта;</w:t>
      </w: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условия о приемке и оплате выполненных работ;</w:t>
      </w: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 условия о сроке выполненных работ и сроке действия контракта;</w:t>
      </w:r>
    </w:p>
    <w:p w:rsidR="00255E62" w:rsidRPr="00255E62" w:rsidRDefault="00255E62" w:rsidP="00255E6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</w:t>
      </w:r>
      <w:r w:rsidRPr="00255E62">
        <w:rPr>
          <w:rFonts w:ascii="PT Astra Serif" w:hAnsi="PT Astra Serif"/>
          <w:sz w:val="26"/>
          <w:szCs w:val="26"/>
        </w:rPr>
        <w:t>условия об ответственности сторон;</w:t>
      </w: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 порядок урегулирования разногласий;</w:t>
      </w:r>
    </w:p>
    <w:p w:rsid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 условия о досудебном порядке рассмотрения споров;</w:t>
      </w:r>
    </w:p>
    <w:p w:rsidR="00BA50AC" w:rsidRDefault="00BA50AC" w:rsidP="00BA50A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условия о порядке направления уведомлений.</w:t>
      </w:r>
    </w:p>
    <w:p w:rsidR="00BA50AC" w:rsidRDefault="00BA50AC" w:rsidP="00BA50A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21.04.2025.</w:t>
      </w:r>
    </w:p>
    <w:p w:rsidR="00BA50AC" w:rsidRDefault="00BA50AC" w:rsidP="00BA50A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BA50AC" w:rsidRDefault="00BA50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A50AC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№ 309-ЭС25-809 от 03.04.2025 по делу № А07-22878/2023</w:t>
      </w:r>
    </w:p>
    <w:p w:rsidR="00BA50AC" w:rsidRPr="00BA50AC" w:rsidRDefault="00BA50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50AC">
        <w:rPr>
          <w:rFonts w:ascii="PT Astra Serif" w:hAnsi="PT Astra Serif"/>
          <w:sz w:val="26"/>
          <w:szCs w:val="26"/>
        </w:rPr>
        <w:t>Заявитель: У</w:t>
      </w:r>
      <w:r>
        <w:rPr>
          <w:rFonts w:ascii="PT Astra Serif" w:hAnsi="PT Astra Serif"/>
          <w:sz w:val="26"/>
          <w:szCs w:val="26"/>
        </w:rPr>
        <w:t>полномоченный орган</w:t>
      </w:r>
    </w:p>
    <w:p w:rsidR="00255E62" w:rsidRDefault="00BA50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Уполномоченный орган разместил извещение на осуществление закупки на выполнение работ, поставку оборудования, неразрывно связанного с производств</w:t>
      </w:r>
      <w:r w:rsidR="0054740B">
        <w:rPr>
          <w:rFonts w:ascii="PT Astra Serif" w:hAnsi="PT Astra Serif"/>
          <w:sz w:val="26"/>
          <w:szCs w:val="26"/>
        </w:rPr>
        <w:t>ом работ по строительству школы, в котором установлено требование о членстве в СРО и о наличии у СРО компенсационного фонда обеспечения договорных обязательств.</w:t>
      </w:r>
    </w:p>
    <w:p w:rsidR="0054740B" w:rsidRDefault="0054740B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Рассмотрев заявки, Уполномоченный орган признал заявку Общества соответствующей требованиям извещения.</w:t>
      </w:r>
    </w:p>
    <w:p w:rsidR="0054740B" w:rsidRDefault="0054740B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Контрольный орган отказал в заключении контракта с Обществом по причине признания его заявки не соответствующей Закону № 44-ФЗ, так как Общество имело обязательства по 5 контрактам на общую сумму 1 140 063 436 руб. 92 коп. Контрольный орган провел в отношении Уполномоченного органа внеплановую проверку и установил нарушение пункта 3 части 12 статьи 48 Закона № 44-ФЗ.</w:t>
      </w:r>
    </w:p>
    <w:p w:rsidR="0054740B" w:rsidRDefault="0054740B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Контрольного органа, Уполномоченное решение обратилось с заявлением в арбитражный суд.</w:t>
      </w:r>
    </w:p>
    <w:p w:rsidR="0054740B" w:rsidRDefault="0054740B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отказали в удовлетворении требований и установили следующее.</w:t>
      </w:r>
    </w:p>
    <w:p w:rsidR="0054740B" w:rsidRDefault="0054740B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ходе проведения проверки Контрольный орган установил, что согласно данным Единого реестра СРО уровень ответственности Общества по договорам строительного </w:t>
      </w:r>
      <w:r>
        <w:rPr>
          <w:rFonts w:ascii="PT Astra Serif" w:hAnsi="PT Astra Serif"/>
          <w:sz w:val="26"/>
          <w:szCs w:val="26"/>
        </w:rPr>
        <w:lastRenderedPageBreak/>
        <w:t>подряда, заключенным с использованием конкурентных способов заключения контракта, не превышает 500 000 000 руб.</w:t>
      </w:r>
    </w:p>
    <w:p w:rsidR="0054740B" w:rsidRDefault="0054740B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Вместе с тем, согласно информации из реестра контрактов в ЕИС на момент проведения проверки у Общества имелись обязательства по 5 контрактам на общую сумму 1 140 063 436 руб. 92 коп., которые были заключены по итогом проведения конкурентных процедур.</w:t>
      </w:r>
    </w:p>
    <w:p w:rsidR="0054740B" w:rsidRDefault="001E5A3D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Таким образом, Общество, являясь членом СРО, не обладало необходимым уровнем ответственности.</w:t>
      </w:r>
    </w:p>
    <w:p w:rsidR="001E5A3D" w:rsidRDefault="001E5A3D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не соответствует требованиям извещения, так как совокупный размер обязательств Общества по договорам строительного подряда, заключаемым с использованием конкурентных способов заключения контрактов, превышает предельный размер обеспечения договорных обязательств, исходя из которого таким лицом был внесен взнос в компенсационный фонд.</w:t>
      </w:r>
    </w:p>
    <w:p w:rsidR="001E5A3D" w:rsidRDefault="001E5A3D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этом даже в отсутствие соответствующего уровня ответственности у члена СРО на момент подачи заявок, а также их рассмотрения Общество вправе внести взнос в компенсационный фонд к моменту заключения контракта.</w:t>
      </w:r>
    </w:p>
    <w:p w:rsidR="001E5A3D" w:rsidRDefault="001E5A3D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силу требований законодательства Уполномоченный орган должен был проверить заявку участника закупки на предмет его соответствия требованиям части 3 статьи 55.8 ГрК РФ.</w:t>
      </w:r>
    </w:p>
    <w:p w:rsidR="001E5A3D" w:rsidRDefault="001E5A3D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 Российской Федерации не нашел оснований для пересмотра дела.</w:t>
      </w:r>
    </w:p>
    <w:p w:rsidR="00E42ABB" w:rsidRDefault="00E42ABB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E42ABB" w:rsidRDefault="00E42ABB" w:rsidP="00E42ABB">
      <w:pPr>
        <w:ind w:firstLine="708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Определение Верховного Суда РФ </w:t>
      </w:r>
      <w:r w:rsidRPr="000F21A1">
        <w:rPr>
          <w:rFonts w:ascii="PT Astra Serif" w:hAnsi="PT Astra Serif"/>
          <w:i/>
          <w:sz w:val="26"/>
          <w:szCs w:val="26"/>
        </w:rPr>
        <w:t>от 02.04.2025</w:t>
      </w:r>
      <w:r>
        <w:rPr>
          <w:rFonts w:ascii="PT Astra Serif" w:hAnsi="PT Astra Serif"/>
          <w:i/>
          <w:sz w:val="26"/>
          <w:szCs w:val="26"/>
        </w:rPr>
        <w:t xml:space="preserve"> № 307-ЭС25-1564 по делу № А56-13658/2024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Заказчик.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 обратилось в антимонопольный орган с жалобой на действия </w:t>
      </w:r>
      <w:r w:rsidRPr="009E65AA">
        <w:rPr>
          <w:rFonts w:ascii="PT Astra Serif" w:hAnsi="PT Astra Serif"/>
          <w:sz w:val="26"/>
          <w:szCs w:val="26"/>
        </w:rPr>
        <w:t>комиссии по осуществлению закупок в связи с отклонением заявки</w:t>
      </w:r>
      <w:r>
        <w:rPr>
          <w:rFonts w:ascii="PT Astra Serif" w:hAnsi="PT Astra Serif"/>
          <w:sz w:val="26"/>
          <w:szCs w:val="26"/>
        </w:rPr>
        <w:t xml:space="preserve"> (заявка содержит недостоверную информацию в отношении технических характеристик товара) по пункту 8 части 12 статьи 48 Закона № 44-ФЗ.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Антимонопольный орган, признавая жалобу Общества необоснованной, исходил из следующего.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извещении Заказчиком в отношении товарной позиции «стол» установлено требование: «Перемещение приемника излучения вдоль оси деки телеуправляемого стола-штатива» - не менее 100 см. 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Анализ заявки Общества показал, что по спорному показателю им указано: 158 см.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инструкции на медицинское изделие (размещенной в государственном реестре медицинских изделий), указано минимальное значение данной характеристики: 160 см.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мнению антимонопольного органа, производитель, указывая степень допуска в +/-10%, подтверждает, что не может гарантировать изготовление и поставку товара с конкретным значением 158 см, указанным Обществом. Таким образом, заключение контракта с участником закупки, заявка которого не соответствует требованиям извещения, не позволяет осуществить приемку поставленного товара в соответствии с требованиями законодательства о контрактной системе. 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4E10AF">
        <w:rPr>
          <w:rFonts w:ascii="PT Astra Serif" w:hAnsi="PT Astra Serif"/>
          <w:sz w:val="26"/>
          <w:szCs w:val="26"/>
        </w:rPr>
        <w:t>Не согласившись с решением антимонопольного органа</w:t>
      </w:r>
      <w:r>
        <w:rPr>
          <w:rFonts w:ascii="PT Astra Serif" w:hAnsi="PT Astra Serif"/>
          <w:sz w:val="26"/>
          <w:szCs w:val="26"/>
        </w:rPr>
        <w:t>, Общество обратилось в арбитражный суд.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первой инстанции в удовлетворении заявленных требований Общества отказал.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E353F">
        <w:rPr>
          <w:rFonts w:ascii="PT Astra Serif" w:hAnsi="PT Astra Serif"/>
          <w:sz w:val="26"/>
          <w:szCs w:val="26"/>
        </w:rPr>
        <w:t>Суд</w:t>
      </w:r>
      <w:r>
        <w:rPr>
          <w:rFonts w:ascii="PT Astra Serif" w:hAnsi="PT Astra Serif"/>
          <w:sz w:val="26"/>
          <w:szCs w:val="26"/>
        </w:rPr>
        <w:t>ы</w:t>
      </w:r>
      <w:r w:rsidRPr="001E353F">
        <w:rPr>
          <w:rFonts w:ascii="PT Astra Serif" w:hAnsi="PT Astra Serif"/>
          <w:sz w:val="26"/>
          <w:szCs w:val="26"/>
        </w:rPr>
        <w:t xml:space="preserve"> апелляционной </w:t>
      </w:r>
      <w:r>
        <w:rPr>
          <w:rFonts w:ascii="PT Astra Serif" w:hAnsi="PT Astra Serif"/>
          <w:sz w:val="26"/>
          <w:szCs w:val="26"/>
        </w:rPr>
        <w:t xml:space="preserve">и </w:t>
      </w:r>
      <w:r w:rsidRPr="00E76F01">
        <w:rPr>
          <w:rFonts w:ascii="PT Astra Serif" w:hAnsi="PT Astra Serif"/>
          <w:sz w:val="26"/>
          <w:szCs w:val="26"/>
        </w:rPr>
        <w:t xml:space="preserve">кассационной </w:t>
      </w:r>
      <w:r>
        <w:rPr>
          <w:rFonts w:ascii="PT Astra Serif" w:hAnsi="PT Astra Serif"/>
          <w:sz w:val="26"/>
          <w:szCs w:val="26"/>
        </w:rPr>
        <w:t>инстанций</w:t>
      </w:r>
      <w:r w:rsidRPr="001E353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приняли решение, отличное от решения суда первой инстанции, посчитав, что ими не учтено, что в инструкции содержатся </w:t>
      </w:r>
      <w:r>
        <w:rPr>
          <w:rFonts w:ascii="PT Astra Serif" w:hAnsi="PT Astra Serif"/>
          <w:sz w:val="26"/>
          <w:szCs w:val="26"/>
        </w:rPr>
        <w:lastRenderedPageBreak/>
        <w:t>значения параметров стола, где все характеристики указаны с отметкой «значение параметров представлено с допустимым отклонением измеренных значений +/-10%».</w:t>
      </w:r>
    </w:p>
    <w:p w:rsidR="00E42ABB" w:rsidRDefault="00E42ABB" w:rsidP="00E42AB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При таких обстоятельствах значения характеристик, указанные Обществом в заявке, находятся в пределах диапазона допустимых значений.</w:t>
      </w:r>
    </w:p>
    <w:p w:rsidR="00E42ABB" w:rsidRDefault="00E42ABB" w:rsidP="00E42AB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При этом Заказчик и антимонопольный орган не опровергли, что инструкция предназначенная для его эксплуатации, охватывает весь диапазон характеристик оборудования, которые производитель может гарантированно произвести, в заявке Общества в наименовании оборудования и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мелась ссылка на технические условия, доказательств несоответствия заявленных Обществом характеристик эти техническим условиям не представлено. Антимонопольный орган не оспорил, что в заявке Общества указаны характеристики не вымышленного, а конкретного ранее произведенного оборудования. Достоверных доказательств, исключающих возможность Общества поставить заявленное оборудование по условиям контракта, не представлено.</w:t>
      </w:r>
    </w:p>
    <w:p w:rsidR="00E42ABB" w:rsidRPr="0042612A" w:rsidRDefault="00E42ABB" w:rsidP="00E42AB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AC213E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E42ABB" w:rsidRDefault="00E42ABB" w:rsidP="00E42ABB">
      <w:pPr>
        <w:jc w:val="both"/>
        <w:rPr>
          <w:rFonts w:ascii="PT Astra Serif" w:hAnsi="PT Astra Serif"/>
          <w:sz w:val="26"/>
          <w:szCs w:val="26"/>
        </w:rPr>
      </w:pPr>
    </w:p>
    <w:p w:rsidR="00E42ABB" w:rsidRDefault="00E42ABB" w:rsidP="00E42ABB">
      <w:pPr>
        <w:ind w:firstLine="708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Определение Верховного Суда РФ </w:t>
      </w:r>
      <w:r w:rsidRPr="000F21A1">
        <w:rPr>
          <w:rFonts w:ascii="PT Astra Serif" w:hAnsi="PT Astra Serif"/>
          <w:i/>
          <w:sz w:val="26"/>
          <w:szCs w:val="26"/>
        </w:rPr>
        <w:t>от 07.04.2025</w:t>
      </w:r>
      <w:r>
        <w:rPr>
          <w:rFonts w:ascii="PT Astra Serif" w:hAnsi="PT Astra Serif"/>
          <w:i/>
          <w:sz w:val="26"/>
          <w:szCs w:val="26"/>
        </w:rPr>
        <w:t xml:space="preserve"> № 306-ЭС25-146 по делу № А65-4516/2024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Антимонопольный орган.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ходе проведения внеплановой проверки антимонопольным органом в действиях Заказчика выявлено нарушение пункта 2 части 1 статьи 33 Закона № 44-ФЗ (</w:t>
      </w:r>
      <w:r w:rsidRPr="00D56F19">
        <w:rPr>
          <w:rFonts w:ascii="PT Astra Serif" w:hAnsi="PT Astra Serif"/>
          <w:sz w:val="26"/>
          <w:szCs w:val="26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</w:t>
      </w:r>
      <w:r>
        <w:rPr>
          <w:rFonts w:ascii="PT Astra Serif" w:hAnsi="PT Astra Serif"/>
          <w:sz w:val="26"/>
          <w:szCs w:val="26"/>
        </w:rPr>
        <w:t>к, функциональных характеристик).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документации об аукционе не приведен перечень нормативной документации, государственных стандартов, технических регламентов либо иных технических условий, нормативов или методик, которыми должны руководствоваться участники закупки в целях соблюдения требований заказчика к товарам и материалам, которые предлагают к применению при исполнении контракта.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4E10AF">
        <w:rPr>
          <w:rFonts w:ascii="PT Astra Serif" w:hAnsi="PT Astra Serif"/>
          <w:sz w:val="26"/>
          <w:szCs w:val="26"/>
        </w:rPr>
        <w:t>Не согласившись с решением антимонопольного органа</w:t>
      </w:r>
      <w:r>
        <w:rPr>
          <w:rFonts w:ascii="PT Astra Serif" w:hAnsi="PT Astra Serif"/>
          <w:sz w:val="26"/>
          <w:szCs w:val="26"/>
        </w:rPr>
        <w:t>, Заказчик обратился в арбитражный суд с заявлением о признании его незаконным.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удовлетворяя требования Заказчика, исходили из следующего. 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2 части 1 статьи 33 Закона № 44-ФЗ не обязывает заказчика указывать в описании предмета закупки конкретные технические регламенты или иные стандарты, в нем идет речь об указании обозначений и специальной терминологии (если они применяются) в том виде, как они указаны в технических регламентах. 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Законодатель обязал заказчиков при описании объекта закупки использовать условные обозначения и терминологию, которые предусмотрены техническими регламентами, принятые в соответствии с законодательством Российской Федерации, и если заказчик не использует установленные условные обозначения и термины, то в описании должно содержаться обоснование использование других показателей, условных обозначений и терминологии. 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разработке проекта контракта заказчиком использована типовая форма, рекомендованная на региональном уровне, которая не предусматривает раскрытие перечня конкретных требований, стандартов к товару, если заказчиком не используются характеристики, отличающиеся от стандартно принятых для соответствующего рода и вида товаров.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Указываемые антимонопольным органом обстоятельства, которые он рассматривает как нарушение, а именно не указание требований конкретных наименований СНиП, </w:t>
      </w:r>
      <w:r>
        <w:rPr>
          <w:rFonts w:ascii="PT Astra Serif" w:hAnsi="PT Astra Serif"/>
          <w:sz w:val="26"/>
          <w:szCs w:val="26"/>
        </w:rPr>
        <w:lastRenderedPageBreak/>
        <w:t>стандартов, технических условий, не охватывается диспозицией пункта 2 части 1 статьи 33 Закона № 44-ФЗ, из чего следует вывод, что решение антимонопольного органа вынесено на основании неправильного применения норм права.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данном случае предметом закупки являются разнородные товары и предметы (электротехническая продукция – аппараты для выжигания, наборы для развития сенсомоторных навыков, логопедическая мозаика). Указание в описании закупки на то, что поставляемый товар должен соответствовать требованиям технических регламентов, положениям действующих стандартов, утвержденных в отношении данного вида товара на территории Российской Федерации, вполне достаточно для потенциальных участников.</w:t>
      </w:r>
    </w:p>
    <w:p w:rsidR="00E42ABB" w:rsidRDefault="00E42ABB" w:rsidP="00E42AB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</w:t>
      </w:r>
      <w:r w:rsidRPr="00391276">
        <w:rPr>
          <w:rFonts w:ascii="PT Astra Serif" w:hAnsi="PT Astra Serif"/>
          <w:sz w:val="26"/>
          <w:szCs w:val="26"/>
        </w:rPr>
        <w:t xml:space="preserve"> Российской Федерации не установил оснований для пересмотра дела.</w:t>
      </w:r>
    </w:p>
    <w:p w:rsidR="00E42ABB" w:rsidRPr="00BA50AC" w:rsidRDefault="00E42ABB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55E62" w:rsidRPr="00255E62" w:rsidRDefault="00255E62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255E62" w:rsidRPr="00255E62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930" w:rsidRDefault="00923930" w:rsidP="00DF12FF">
      <w:r>
        <w:separator/>
      </w:r>
    </w:p>
  </w:endnote>
  <w:endnote w:type="continuationSeparator" w:id="0">
    <w:p w:rsidR="00923930" w:rsidRDefault="00923930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930" w:rsidRDefault="00923930" w:rsidP="00DF12FF">
      <w:r>
        <w:separator/>
      </w:r>
    </w:p>
  </w:footnote>
  <w:footnote w:type="continuationSeparator" w:id="0">
    <w:p w:rsidR="00923930" w:rsidRDefault="00923930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ABB">
          <w:rPr>
            <w:noProof/>
          </w:rPr>
          <w:t>5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F3E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4AA9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05B2"/>
    <w:rsid w:val="00131DAF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3D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4B4A"/>
    <w:rsid w:val="00237455"/>
    <w:rsid w:val="0023768F"/>
    <w:rsid w:val="00240AF6"/>
    <w:rsid w:val="00240E43"/>
    <w:rsid w:val="00241EF9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4B05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ABA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E26"/>
    <w:rsid w:val="004070BA"/>
    <w:rsid w:val="00410051"/>
    <w:rsid w:val="00411F54"/>
    <w:rsid w:val="00412172"/>
    <w:rsid w:val="00412BCA"/>
    <w:rsid w:val="00413421"/>
    <w:rsid w:val="0041383A"/>
    <w:rsid w:val="00415F69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359"/>
    <w:rsid w:val="008633F0"/>
    <w:rsid w:val="0086340D"/>
    <w:rsid w:val="00863592"/>
    <w:rsid w:val="00865B53"/>
    <w:rsid w:val="008660D4"/>
    <w:rsid w:val="0086650F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9D0"/>
    <w:rsid w:val="00894EE9"/>
    <w:rsid w:val="008963CE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3E9B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15B7"/>
    <w:rsid w:val="00921BEC"/>
    <w:rsid w:val="00923930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5CBB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FBF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E0096"/>
    <w:rsid w:val="009E0494"/>
    <w:rsid w:val="009E1215"/>
    <w:rsid w:val="009E18CC"/>
    <w:rsid w:val="009E1BDA"/>
    <w:rsid w:val="009E1CF3"/>
    <w:rsid w:val="009E22E2"/>
    <w:rsid w:val="009E2AA5"/>
    <w:rsid w:val="009E2E4F"/>
    <w:rsid w:val="009E33CD"/>
    <w:rsid w:val="009E3967"/>
    <w:rsid w:val="009E412F"/>
    <w:rsid w:val="009E4619"/>
    <w:rsid w:val="009E5578"/>
    <w:rsid w:val="009E663B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AE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C8"/>
    <w:rsid w:val="00A73DF8"/>
    <w:rsid w:val="00A74257"/>
    <w:rsid w:val="00A74413"/>
    <w:rsid w:val="00A74E8F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640"/>
    <w:rsid w:val="00BA19D5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0C3C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166F"/>
    <w:rsid w:val="00CA27F1"/>
    <w:rsid w:val="00CA2877"/>
    <w:rsid w:val="00CA297D"/>
    <w:rsid w:val="00CA2C67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A48"/>
    <w:rsid w:val="00CB40F8"/>
    <w:rsid w:val="00CB4BD3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1214"/>
    <w:rsid w:val="00E012EF"/>
    <w:rsid w:val="00E0132C"/>
    <w:rsid w:val="00E01C5A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ABB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281C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27DF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047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CA7"/>
    <w:rsid w:val="00F43D4E"/>
    <w:rsid w:val="00F44474"/>
    <w:rsid w:val="00F44489"/>
    <w:rsid w:val="00F444FB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13DC"/>
    <w:rsid w:val="00FE2135"/>
    <w:rsid w:val="00FE24C3"/>
    <w:rsid w:val="00FE283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6052E-421A-4D31-B46F-15BA19A73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1870</Words>
  <Characters>10665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Иванова Ксения</cp:lastModifiedBy>
  <cp:revision>2</cp:revision>
  <cp:lastPrinted>2025-04-07T03:11:00Z</cp:lastPrinted>
  <dcterms:created xsi:type="dcterms:W3CDTF">2025-04-14T11:36:00Z</dcterms:created>
  <dcterms:modified xsi:type="dcterms:W3CDTF">2025-04-14T11:36:00Z</dcterms:modified>
</cp:coreProperties>
</file>