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836218">
        <w:rPr>
          <w:rFonts w:ascii="PT Astra Serif" w:hAnsi="PT Astra Serif"/>
          <w:b/>
          <w:color w:val="000000" w:themeColor="text1"/>
          <w:lang w:val="en-US"/>
        </w:rPr>
        <w:t>2</w:t>
      </w:r>
      <w:r w:rsidR="00583AB3">
        <w:rPr>
          <w:rFonts w:ascii="PT Astra Serif" w:hAnsi="PT Astra Serif"/>
          <w:b/>
          <w:color w:val="000000" w:themeColor="text1"/>
        </w:rPr>
        <w:t>8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ED0BB9">
        <w:rPr>
          <w:rFonts w:ascii="PT Astra Serif" w:hAnsi="PT Astra Serif"/>
          <w:b/>
          <w:color w:val="000000" w:themeColor="text1"/>
        </w:rPr>
        <w:t>4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E402E8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175647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Приказ Минстроя России от 17.01.2025 № 18/</w:t>
            </w:r>
            <w:proofErr w:type="spellStart"/>
            <w:r>
              <w:rPr>
                <w:rFonts w:ascii="PT Astra Serif" w:hAnsi="PT Astra Serif"/>
                <w:b/>
                <w:sz w:val="26"/>
                <w:szCs w:val="26"/>
              </w:rPr>
              <w:t>пр</w:t>
            </w:r>
            <w:proofErr w:type="spellEnd"/>
            <w:r>
              <w:rPr>
                <w:rFonts w:ascii="PT Astra Serif" w:hAnsi="PT Astra Serif"/>
                <w:b/>
                <w:sz w:val="26"/>
                <w:szCs w:val="26"/>
              </w:rPr>
              <w:t xml:space="preserve"> (</w:t>
            </w:r>
            <w:r w:rsidR="00175647">
              <w:rPr>
                <w:rFonts w:ascii="PT Astra Serif" w:hAnsi="PT Astra Serif"/>
                <w:b/>
                <w:sz w:val="26"/>
                <w:szCs w:val="26"/>
              </w:rPr>
              <w:t>опубликован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1</w:t>
            </w:r>
            <w:r w:rsidR="00175647">
              <w:rPr>
                <w:rFonts w:ascii="PT Astra Serif" w:hAnsi="PT Astra Serif"/>
                <w:b/>
                <w:sz w:val="26"/>
                <w:szCs w:val="26"/>
              </w:rPr>
              <w:t>8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.04.2025)</w:t>
            </w:r>
          </w:p>
        </w:tc>
      </w:tr>
      <w:tr w:rsidR="00F22A47" w:rsidRPr="00582FD6" w:rsidTr="00E402E8">
        <w:trPr>
          <w:trHeight w:val="70"/>
        </w:trPr>
        <w:tc>
          <w:tcPr>
            <w:tcW w:w="10065" w:type="dxa"/>
            <w:gridSpan w:val="2"/>
          </w:tcPr>
          <w:p w:rsidR="00F22A47" w:rsidRPr="00582FD6" w:rsidRDefault="00C21357" w:rsidP="00C21357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Минстрой России внес изменения в порядок изменения цены контракта, утвержденный приказом № 604/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пр</w:t>
            </w:r>
            <w:proofErr w:type="spellEnd"/>
          </w:p>
        </w:tc>
      </w:tr>
      <w:tr w:rsidR="000F0B6F" w:rsidRPr="00E82117" w:rsidTr="00E402E8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D73FE7" w:rsidP="00C21357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175647">
              <w:rPr>
                <w:rFonts w:ascii="PT Astra Serif" w:hAnsi="PT Astra Serif"/>
                <w:b/>
                <w:sz w:val="26"/>
                <w:szCs w:val="26"/>
              </w:rPr>
              <w:t>Письмо Минстроя России от 04.04.2025 № 9367-ОГ/09</w:t>
            </w:r>
          </w:p>
        </w:tc>
      </w:tr>
      <w:tr w:rsidR="000F0B6F" w:rsidRPr="00582FD6" w:rsidTr="00E402E8">
        <w:trPr>
          <w:trHeight w:val="70"/>
        </w:trPr>
        <w:tc>
          <w:tcPr>
            <w:tcW w:w="10065" w:type="dxa"/>
            <w:gridSpan w:val="2"/>
          </w:tcPr>
          <w:p w:rsidR="000F0B6F" w:rsidRPr="009B0509" w:rsidRDefault="00255E62" w:rsidP="00C21357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175647">
              <w:rPr>
                <w:rFonts w:ascii="PT Astra Serif" w:hAnsi="PT Astra Serif"/>
                <w:sz w:val="26"/>
                <w:szCs w:val="26"/>
              </w:rPr>
              <w:t xml:space="preserve">Минстрой России разъяснил вопросы определения сметной стоимости ремонта с применением сметных нормативов, сведения о которых включены в </w:t>
            </w:r>
            <w:r w:rsidR="00175647" w:rsidRPr="00175647">
              <w:rPr>
                <w:rFonts w:ascii="PT Astra Serif" w:hAnsi="PT Astra Serif"/>
                <w:sz w:val="26"/>
                <w:szCs w:val="26"/>
              </w:rPr>
              <w:t>федеральный реестр сметных нормативов, и сметных цен строительных ресурсов</w:t>
            </w:r>
          </w:p>
        </w:tc>
      </w:tr>
      <w:tr w:rsidR="00836218" w:rsidRPr="00E82117" w:rsidTr="00E402E8">
        <w:trPr>
          <w:trHeight w:val="70"/>
        </w:trPr>
        <w:tc>
          <w:tcPr>
            <w:tcW w:w="10065" w:type="dxa"/>
            <w:gridSpan w:val="2"/>
          </w:tcPr>
          <w:p w:rsidR="00836218" w:rsidRPr="00E82117" w:rsidRDefault="00175647" w:rsidP="0009357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Проект постановления Правительства РФ № 02/07/04-25/00156452</w:t>
            </w:r>
          </w:p>
        </w:tc>
      </w:tr>
      <w:tr w:rsidR="00836218" w:rsidRPr="009B0509" w:rsidTr="00E402E8">
        <w:trPr>
          <w:trHeight w:val="70"/>
        </w:trPr>
        <w:tc>
          <w:tcPr>
            <w:tcW w:w="10065" w:type="dxa"/>
            <w:gridSpan w:val="2"/>
          </w:tcPr>
          <w:p w:rsidR="00836218" w:rsidRPr="009B0509" w:rsidRDefault="00836218" w:rsidP="00C21357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proofErr w:type="spellStart"/>
            <w:r w:rsidR="00175647">
              <w:rPr>
                <w:rFonts w:ascii="PT Astra Serif" w:hAnsi="PT Astra Serif"/>
                <w:sz w:val="26"/>
                <w:szCs w:val="26"/>
              </w:rPr>
              <w:t>Минсельсхоз</w:t>
            </w:r>
            <w:proofErr w:type="spellEnd"/>
            <w:r w:rsidR="00175647">
              <w:rPr>
                <w:rFonts w:ascii="PT Astra Serif" w:hAnsi="PT Astra Serif"/>
                <w:sz w:val="26"/>
                <w:szCs w:val="26"/>
              </w:rPr>
              <w:t xml:space="preserve"> России предложил распространить запрет закупок иностранных товаров на рыбную продукцию</w:t>
            </w:r>
          </w:p>
        </w:tc>
      </w:tr>
      <w:tr w:rsidR="001C1D6E" w:rsidRPr="00202938" w:rsidTr="00E402E8">
        <w:trPr>
          <w:trHeight w:val="47"/>
        </w:trPr>
        <w:tc>
          <w:tcPr>
            <w:tcW w:w="10065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E402E8" w:rsidRPr="000733AE" w:rsidTr="00E402E8">
        <w:trPr>
          <w:trHeight w:val="1529"/>
        </w:trPr>
        <w:tc>
          <w:tcPr>
            <w:tcW w:w="4395" w:type="dxa"/>
          </w:tcPr>
          <w:p w:rsidR="00E402E8" w:rsidRPr="000733AE" w:rsidRDefault="00E402E8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РФ от 16.04.2025 № 304-ЭС25-1066 по делу № А67-3797/2024</w:t>
            </w:r>
          </w:p>
        </w:tc>
        <w:tc>
          <w:tcPr>
            <w:tcW w:w="5670" w:type="dxa"/>
          </w:tcPr>
          <w:p w:rsidR="00E402E8" w:rsidRPr="000733AE" w:rsidRDefault="00E402E8" w:rsidP="000E09E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Нахождение охраняемого объекта в федеральной собственности само по себе не является основанием для отнесения его к объектам, подлежащим государственной охране, в силу пункта 1 Перечня объектов, утвержденного</w:t>
            </w:r>
            <w:r w:rsidRPr="00C55306">
              <w:rPr>
                <w:rFonts w:ascii="PT Astra Serif" w:hAnsi="PT Astra Serif"/>
                <w:sz w:val="26"/>
                <w:szCs w:val="26"/>
              </w:rPr>
              <w:t xml:space="preserve"> постановлением Правительства РФ от 14.08.1992 № 587</w:t>
            </w:r>
          </w:p>
        </w:tc>
      </w:tr>
      <w:tr w:rsidR="00E402E8" w:rsidTr="00E402E8">
        <w:trPr>
          <w:trHeight w:val="70"/>
        </w:trPr>
        <w:tc>
          <w:tcPr>
            <w:tcW w:w="4395" w:type="dxa"/>
          </w:tcPr>
          <w:p w:rsidR="00E402E8" w:rsidRPr="00AE160D" w:rsidRDefault="00E402E8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Постановление Арбитражного суда </w:t>
            </w:r>
            <w:proofErr w:type="gramStart"/>
            <w:r>
              <w:rPr>
                <w:rFonts w:ascii="PT Astra Serif" w:hAnsi="PT Astra Serif"/>
                <w:i/>
                <w:sz w:val="26"/>
                <w:szCs w:val="26"/>
              </w:rPr>
              <w:t>Восточно-Сибирского</w:t>
            </w:r>
            <w:proofErr w:type="gramEnd"/>
            <w:r>
              <w:rPr>
                <w:rFonts w:ascii="PT Astra Serif" w:hAnsi="PT Astra Serif"/>
                <w:i/>
                <w:sz w:val="26"/>
                <w:szCs w:val="26"/>
              </w:rPr>
              <w:t xml:space="preserve"> округа от 04.04.2025 № А33-22160/2024</w:t>
            </w:r>
          </w:p>
        </w:tc>
        <w:tc>
          <w:tcPr>
            <w:tcW w:w="5670" w:type="dxa"/>
          </w:tcPr>
          <w:p w:rsidR="00E402E8" w:rsidRDefault="00E402E8" w:rsidP="000E09E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 Заказчика отсутствуют основания для принятия решения об одностороннем отказе от исполнения контракта в связи с привлечением подрядчика к административной ответственности за совершение административного правонарушения, предусмотренного статьей 19.28 КоАП РФ, постановлением суда, вступившего в законную силу после заключения контракта, поскольку на момент подачи заявки на участие в конкурсе подрядчик соответствовал требованиям извещения</w:t>
            </w:r>
          </w:p>
        </w:tc>
      </w:tr>
      <w:tr w:rsidR="00E402E8" w:rsidRPr="00297D5D" w:rsidTr="00E402E8">
        <w:trPr>
          <w:trHeight w:val="1557"/>
        </w:trPr>
        <w:tc>
          <w:tcPr>
            <w:tcW w:w="4395" w:type="dxa"/>
          </w:tcPr>
          <w:p w:rsidR="00E402E8" w:rsidRDefault="00E402E8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Магаданского УФАС России от 10.04.2025 по делу № 049/06/51-109/2025</w:t>
            </w:r>
          </w:p>
        </w:tc>
        <w:tc>
          <w:tcPr>
            <w:tcW w:w="5670" w:type="dxa"/>
          </w:tcPr>
          <w:p w:rsidR="00E402E8" w:rsidRPr="00297D5D" w:rsidRDefault="00E402E8" w:rsidP="000E09E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62D7">
              <w:rPr>
                <w:rFonts w:ascii="Yandex Sans Text" w:hAnsi="Yandex Sans Text"/>
                <w:color w:val="000000"/>
                <w:sz w:val="26"/>
                <w:szCs w:val="26"/>
                <w:shd w:val="clear" w:color="auto" w:fill="FFFFFF"/>
              </w:rPr>
              <w:t>Отказ от заключения контракта на основании части 9 статьи 31 Закона № 44-ФЗ не допускается, если победитель закупки соответствует</w:t>
            </w:r>
            <w:r>
              <w:rPr>
                <w:rFonts w:ascii="Yandex Sans Text" w:hAnsi="Yandex Sans Text"/>
                <w:color w:val="000000"/>
                <w:sz w:val="26"/>
                <w:szCs w:val="26"/>
                <w:shd w:val="clear" w:color="auto" w:fill="FFFFFF"/>
              </w:rPr>
              <w:t xml:space="preserve"> требованиям, установленным в извещении в соответствии со статьей 31 Закона № 44-ФЗ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836218" w:rsidRDefault="00836218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36218">
        <w:rPr>
          <w:rFonts w:ascii="PT Astra Serif" w:hAnsi="PT Astra Serif"/>
          <w:i/>
          <w:sz w:val="26"/>
          <w:szCs w:val="26"/>
        </w:rPr>
        <w:t>П</w:t>
      </w:r>
      <w:r w:rsidR="00C21357">
        <w:rPr>
          <w:rFonts w:ascii="PT Astra Serif" w:hAnsi="PT Astra Serif"/>
          <w:i/>
          <w:sz w:val="26"/>
          <w:szCs w:val="26"/>
        </w:rPr>
        <w:t>риказ Минстроя России от 17.01.2025 № 18/</w:t>
      </w:r>
      <w:proofErr w:type="spellStart"/>
      <w:r w:rsidR="00C21357">
        <w:rPr>
          <w:rFonts w:ascii="PT Astra Serif" w:hAnsi="PT Astra Serif"/>
          <w:i/>
          <w:sz w:val="26"/>
          <w:szCs w:val="26"/>
        </w:rPr>
        <w:t>пр</w:t>
      </w:r>
      <w:proofErr w:type="spellEnd"/>
      <w:r w:rsidR="00C21357">
        <w:rPr>
          <w:rFonts w:ascii="PT Astra Serif" w:hAnsi="PT Astra Serif"/>
          <w:i/>
          <w:sz w:val="26"/>
          <w:szCs w:val="26"/>
        </w:rPr>
        <w:t xml:space="preserve"> (</w:t>
      </w:r>
      <w:r w:rsidR="00175647">
        <w:rPr>
          <w:rFonts w:ascii="PT Astra Serif" w:hAnsi="PT Astra Serif"/>
          <w:i/>
          <w:sz w:val="26"/>
          <w:szCs w:val="26"/>
        </w:rPr>
        <w:t>опубликован</w:t>
      </w:r>
      <w:r w:rsidR="00C21357">
        <w:rPr>
          <w:rFonts w:ascii="PT Astra Serif" w:hAnsi="PT Astra Serif"/>
          <w:i/>
          <w:sz w:val="26"/>
          <w:szCs w:val="26"/>
        </w:rPr>
        <w:t xml:space="preserve"> 1</w:t>
      </w:r>
      <w:r w:rsidR="00175647">
        <w:rPr>
          <w:rFonts w:ascii="PT Astra Serif" w:hAnsi="PT Astra Serif"/>
          <w:i/>
          <w:sz w:val="26"/>
          <w:szCs w:val="26"/>
        </w:rPr>
        <w:t>8</w:t>
      </w:r>
      <w:r w:rsidR="00C21357">
        <w:rPr>
          <w:rFonts w:ascii="PT Astra Serif" w:hAnsi="PT Astra Serif"/>
          <w:i/>
          <w:sz w:val="26"/>
          <w:szCs w:val="26"/>
        </w:rPr>
        <w:t>.04.2025) «</w:t>
      </w:r>
      <w:r w:rsidR="00C21357" w:rsidRPr="00C21357">
        <w:rPr>
          <w:rFonts w:ascii="PT Astra Serif" w:hAnsi="PT Astra Serif"/>
          <w:i/>
          <w:sz w:val="26"/>
          <w:szCs w:val="26"/>
        </w:rPr>
        <w:t xml:space="preserve">О внесении изменений в пункт 4 порядка изменения цены контракта, предметом которого может быть одновременно подготовка проектной документации и (или) выполнение инженерных изысканий, выполнение работ по строительству, реконструкции и (или) капитальному ремонту объекта капитального строительства, цены такого контракта, заключаемого с единственным поставщиком (подрядчиком, исполнителем), в случаях, предусмотренных подпунктом </w:t>
      </w:r>
      <w:r w:rsidR="00C21357">
        <w:rPr>
          <w:rFonts w:ascii="PT Astra Serif" w:hAnsi="PT Astra Serif"/>
          <w:i/>
          <w:sz w:val="26"/>
          <w:szCs w:val="26"/>
        </w:rPr>
        <w:t>«</w:t>
      </w:r>
      <w:r w:rsidR="00C21357" w:rsidRPr="00C21357">
        <w:rPr>
          <w:rFonts w:ascii="PT Astra Serif" w:hAnsi="PT Astra Serif"/>
          <w:i/>
          <w:sz w:val="26"/>
          <w:szCs w:val="26"/>
        </w:rPr>
        <w:t>а</w:t>
      </w:r>
      <w:r w:rsidR="00C21357">
        <w:rPr>
          <w:rFonts w:ascii="PT Astra Serif" w:hAnsi="PT Astra Serif"/>
          <w:i/>
          <w:sz w:val="26"/>
          <w:szCs w:val="26"/>
        </w:rPr>
        <w:t>»</w:t>
      </w:r>
      <w:r w:rsidR="00C21357" w:rsidRPr="00C21357">
        <w:rPr>
          <w:rFonts w:ascii="PT Astra Serif" w:hAnsi="PT Astra Serif"/>
          <w:i/>
          <w:sz w:val="26"/>
          <w:szCs w:val="26"/>
        </w:rPr>
        <w:t xml:space="preserve"> пункта 1 и пунктом 2 части 62 статьи 112 Федерального закона от 5 апреля 2013 г. </w:t>
      </w:r>
      <w:r w:rsidR="00C21357">
        <w:rPr>
          <w:rFonts w:ascii="PT Astra Serif" w:hAnsi="PT Astra Serif"/>
          <w:i/>
          <w:sz w:val="26"/>
          <w:szCs w:val="26"/>
        </w:rPr>
        <w:t xml:space="preserve">№ </w:t>
      </w:r>
      <w:r w:rsidR="00C21357" w:rsidRPr="00C21357">
        <w:rPr>
          <w:rFonts w:ascii="PT Astra Serif" w:hAnsi="PT Astra Serif"/>
          <w:i/>
          <w:sz w:val="26"/>
          <w:szCs w:val="26"/>
        </w:rPr>
        <w:t xml:space="preserve">44-ФЗ </w:t>
      </w:r>
      <w:r w:rsidR="00C21357">
        <w:rPr>
          <w:rFonts w:ascii="PT Astra Serif" w:hAnsi="PT Astra Serif"/>
          <w:i/>
          <w:sz w:val="26"/>
          <w:szCs w:val="26"/>
        </w:rPr>
        <w:t>«</w:t>
      </w:r>
      <w:r w:rsidR="00C21357" w:rsidRPr="00C21357">
        <w:rPr>
          <w:rFonts w:ascii="PT Astra Serif" w:hAnsi="PT Astra Serif"/>
          <w:i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21357">
        <w:rPr>
          <w:rFonts w:ascii="PT Astra Serif" w:hAnsi="PT Astra Serif"/>
          <w:i/>
          <w:sz w:val="26"/>
          <w:szCs w:val="26"/>
        </w:rPr>
        <w:t>»</w:t>
      </w:r>
      <w:r w:rsidR="00C21357" w:rsidRPr="00C21357">
        <w:rPr>
          <w:rFonts w:ascii="PT Astra Serif" w:hAnsi="PT Astra Serif"/>
          <w:i/>
          <w:sz w:val="26"/>
          <w:szCs w:val="26"/>
        </w:rPr>
        <w:t xml:space="preserve">, утвержденного приказом Минстроя России от 21 августа 2023 г. </w:t>
      </w:r>
      <w:r w:rsidR="00C21357">
        <w:rPr>
          <w:rFonts w:ascii="PT Astra Serif" w:hAnsi="PT Astra Serif"/>
          <w:i/>
          <w:sz w:val="26"/>
          <w:szCs w:val="26"/>
        </w:rPr>
        <w:t xml:space="preserve">№ </w:t>
      </w:r>
      <w:r w:rsidR="00C21357" w:rsidRPr="00C21357">
        <w:rPr>
          <w:rFonts w:ascii="PT Astra Serif" w:hAnsi="PT Astra Serif"/>
          <w:i/>
          <w:sz w:val="26"/>
          <w:szCs w:val="26"/>
        </w:rPr>
        <w:t>604/</w:t>
      </w:r>
      <w:proofErr w:type="spellStart"/>
      <w:r w:rsidR="00C21357" w:rsidRPr="00C21357">
        <w:rPr>
          <w:rFonts w:ascii="PT Astra Serif" w:hAnsi="PT Astra Serif"/>
          <w:i/>
          <w:sz w:val="26"/>
          <w:szCs w:val="26"/>
        </w:rPr>
        <w:t>пр</w:t>
      </w:r>
      <w:proofErr w:type="spellEnd"/>
      <w:r w:rsidR="00C21357">
        <w:rPr>
          <w:rFonts w:ascii="PT Astra Serif" w:hAnsi="PT Astra Serif"/>
          <w:i/>
          <w:sz w:val="26"/>
          <w:szCs w:val="26"/>
        </w:rPr>
        <w:t>»</w:t>
      </w:r>
    </w:p>
    <w:p w:rsidR="00C21357" w:rsidRDefault="00C21357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21357">
        <w:rPr>
          <w:rFonts w:ascii="PT Astra Serif" w:hAnsi="PT Astra Serif"/>
          <w:sz w:val="26"/>
          <w:szCs w:val="26"/>
        </w:rPr>
        <w:lastRenderedPageBreak/>
        <w:t>Минстрой России внес изменения в по</w:t>
      </w:r>
      <w:r>
        <w:rPr>
          <w:rFonts w:ascii="PT Astra Serif" w:hAnsi="PT Astra Serif"/>
          <w:sz w:val="26"/>
          <w:szCs w:val="26"/>
        </w:rPr>
        <w:t xml:space="preserve">рядок изменения цены контракта в случаях, предусмотренных подпунктом «а» пункта 1 и пунктом 2 части 62 статьи 112 Закона № 44-ФЗ, </w:t>
      </w:r>
      <w:r w:rsidRPr="00C21357">
        <w:rPr>
          <w:rFonts w:ascii="PT Astra Serif" w:hAnsi="PT Astra Serif"/>
          <w:sz w:val="26"/>
          <w:szCs w:val="26"/>
        </w:rPr>
        <w:t>утвержденный приказом № 604/</w:t>
      </w:r>
      <w:proofErr w:type="spellStart"/>
      <w:r w:rsidRPr="00C21357">
        <w:rPr>
          <w:rFonts w:ascii="PT Astra Serif" w:hAnsi="PT Astra Serif"/>
          <w:sz w:val="26"/>
          <w:szCs w:val="26"/>
        </w:rPr>
        <w:t>пр</w:t>
      </w:r>
      <w:proofErr w:type="spellEnd"/>
      <w:r w:rsidR="009D76EC">
        <w:rPr>
          <w:rFonts w:ascii="PT Astra Serif" w:hAnsi="PT Astra Serif"/>
          <w:sz w:val="26"/>
          <w:szCs w:val="26"/>
        </w:rPr>
        <w:t xml:space="preserve"> (далее – Порядок)</w:t>
      </w:r>
      <w:r>
        <w:rPr>
          <w:rFonts w:ascii="PT Astra Serif" w:hAnsi="PT Astra Serif"/>
          <w:sz w:val="26"/>
          <w:szCs w:val="26"/>
        </w:rPr>
        <w:t>.</w:t>
      </w:r>
    </w:p>
    <w:p w:rsidR="00C21357" w:rsidRDefault="009D76E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Изменены правила применения переменных, включенных в определенную пунктом 4 Порядка формулу изменения цены контракта, в частности, сметной стоимости подрядных работ, сметной стоимости подготовительных работ, индекса прогнозной инфляции подрядных работ.</w:t>
      </w:r>
    </w:p>
    <w:p w:rsidR="00175647" w:rsidRDefault="00175647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Нововведения вступят в силу с 29.04.2025.</w:t>
      </w:r>
    </w:p>
    <w:p w:rsidR="00C21357" w:rsidRDefault="00C21357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75647">
        <w:rPr>
          <w:rFonts w:ascii="PT Astra Serif" w:hAnsi="PT Astra Serif"/>
          <w:i/>
          <w:sz w:val="26"/>
          <w:szCs w:val="26"/>
        </w:rPr>
        <w:t>Письмо Минстроя России от 04.04.2025 № 9367-ОГ/09</w:t>
      </w:r>
      <w:r>
        <w:rPr>
          <w:rFonts w:ascii="PT Astra Serif" w:hAnsi="PT Astra Serif"/>
          <w:i/>
          <w:sz w:val="26"/>
          <w:szCs w:val="26"/>
        </w:rPr>
        <w:t xml:space="preserve"> «По вопросам определения сметной стоимости ремонта с применением сметных нормативов, сведения о которых включены в ФРСН»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75647">
        <w:rPr>
          <w:rFonts w:ascii="PT Astra Serif" w:hAnsi="PT Astra Serif"/>
          <w:sz w:val="26"/>
          <w:szCs w:val="26"/>
        </w:rPr>
        <w:t>Минстрой России разъяснил вопросы определения сметной стоимости ремонта с применением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175647">
        <w:rPr>
          <w:rFonts w:ascii="PT Astra Serif" w:hAnsi="PT Astra Serif"/>
          <w:sz w:val="26"/>
          <w:szCs w:val="26"/>
        </w:rPr>
        <w:t xml:space="preserve">пределение сметной стоимости строительства на этапе архитектурно-строительного проектирования, финансируемого в порядке, установленном частью 1 статьи 8.3 Градостроительного кодекса Российской Федерации (далее - </w:t>
      </w:r>
      <w:proofErr w:type="spellStart"/>
      <w:r w:rsidRPr="00175647">
        <w:rPr>
          <w:rFonts w:ascii="PT Astra Serif" w:hAnsi="PT Astra Serif"/>
          <w:sz w:val="26"/>
          <w:szCs w:val="26"/>
        </w:rPr>
        <w:t>ГрК</w:t>
      </w:r>
      <w:proofErr w:type="spellEnd"/>
      <w:r w:rsidRPr="00175647">
        <w:rPr>
          <w:rFonts w:ascii="PT Astra Serif" w:hAnsi="PT Astra Serif"/>
          <w:sz w:val="26"/>
          <w:szCs w:val="26"/>
        </w:rPr>
        <w:t xml:space="preserve"> РФ), осуществляется с обязательным применением сметных нормативов, сведения о которых включены в федеральный реестр сметных нормативов, и сметных цен строительных ресурсов (далее - ФРСН). В иных случаях сметная стоимость строительства определяется с применением сметных нормативов, сведения о которых включены в ФРСН, и сметных цен строительных ресурсов, если это предусмотрено федеральным законом или договором. Указанная сметная стоимость строительства используется при формировании начальной (максимальной) цены контрактов, цены контрактов, заключаемых с единственным поставщиком (подрядчиком, исполнителем), предметом которых является выполнение работ по строительству, реконструкции, капитальному ремонту, сносу объектов капитального строительства, сохранению</w:t>
      </w:r>
      <w:r>
        <w:rPr>
          <w:rFonts w:ascii="PT Astra Serif" w:hAnsi="PT Astra Serif"/>
          <w:sz w:val="26"/>
          <w:szCs w:val="26"/>
        </w:rPr>
        <w:t xml:space="preserve"> объектов культурного наследия.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75647">
        <w:rPr>
          <w:rFonts w:ascii="PT Astra Serif" w:hAnsi="PT Astra Serif"/>
          <w:sz w:val="26"/>
          <w:szCs w:val="26"/>
        </w:rPr>
        <w:t>При этом сметные нормативы и сметные цены строительных ресурсов, использованные при определении сметной стоимости строительства, не подлежат применению при исполнении указанных контрактов или договоров.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175647">
        <w:rPr>
          <w:rFonts w:ascii="PT Astra Serif" w:hAnsi="PT Astra Serif"/>
          <w:sz w:val="26"/>
          <w:szCs w:val="26"/>
        </w:rPr>
        <w:t>ГрК</w:t>
      </w:r>
      <w:proofErr w:type="spellEnd"/>
      <w:r w:rsidRPr="00175647">
        <w:rPr>
          <w:rFonts w:ascii="PT Astra Serif" w:hAnsi="PT Astra Serif"/>
          <w:sz w:val="26"/>
          <w:szCs w:val="26"/>
        </w:rPr>
        <w:t xml:space="preserve"> РФ и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г.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175647">
        <w:rPr>
          <w:rFonts w:ascii="PT Astra Serif" w:hAnsi="PT Astra Serif"/>
          <w:sz w:val="26"/>
          <w:szCs w:val="26"/>
        </w:rPr>
        <w:t>87, подготовка технической документации на текущий ремонт зданий и сооружений не предусматривается.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75647">
        <w:rPr>
          <w:rFonts w:ascii="PT Astra Serif" w:hAnsi="PT Astra Serif"/>
          <w:sz w:val="26"/>
          <w:szCs w:val="26"/>
        </w:rPr>
        <w:t>Обязанность или запрет определения сметной стоимости текущего ремонта объектов капитального строительства с применением сметных нормативов, сведения о которых включены в ФРСН (применение проектно-сметного метода), положениями законодательства о градостроительной деятельности не установлены.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75647">
        <w:rPr>
          <w:rFonts w:ascii="PT Astra Serif" w:hAnsi="PT Astra Serif"/>
          <w:sz w:val="26"/>
          <w:szCs w:val="26"/>
        </w:rPr>
        <w:t>Таким образом, определение сметной стоимости текущего ремонта с применением сметных нормативов, сведения о которых включены в ФРСН, осуществляется по решению заказчика.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75647">
        <w:rPr>
          <w:rFonts w:ascii="PT Astra Serif" w:hAnsi="PT Astra Serif"/>
          <w:sz w:val="26"/>
          <w:szCs w:val="26"/>
        </w:rPr>
        <w:t xml:space="preserve">Так, например, аналогичные положения предусмотрены частью 9.1 статьи 22 </w:t>
      </w:r>
      <w:r>
        <w:rPr>
          <w:rFonts w:ascii="PT Astra Serif" w:hAnsi="PT Astra Serif"/>
          <w:sz w:val="26"/>
          <w:szCs w:val="26"/>
        </w:rPr>
        <w:t>Закона № 44-ФЗ</w:t>
      </w:r>
      <w:r w:rsidRPr="00175647">
        <w:rPr>
          <w:rFonts w:ascii="PT Astra Serif" w:hAnsi="PT Astra Serif"/>
          <w:sz w:val="26"/>
          <w:szCs w:val="26"/>
        </w:rPr>
        <w:t>, согласно которой при определении и обосновании начальной максимальной цены контракта на текущий ремонт зданий, строений, сооружений, помещений может применяться проектно-сметный метод.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75647">
        <w:rPr>
          <w:rFonts w:ascii="PT Astra Serif" w:hAnsi="PT Astra Serif"/>
          <w:sz w:val="26"/>
          <w:szCs w:val="26"/>
        </w:rPr>
        <w:t xml:space="preserve">В соответствии с пунктом 4 Порядка определения начальной (максимальной) цены контракта, цены контракта, заключаемого с единственным поставщиком (подрядчиком, </w:t>
      </w:r>
      <w:r w:rsidRPr="00175647">
        <w:rPr>
          <w:rFonts w:ascii="PT Astra Serif" w:hAnsi="PT Astra Serif"/>
          <w:sz w:val="26"/>
          <w:szCs w:val="26"/>
        </w:rPr>
        <w:lastRenderedPageBreak/>
        <w:t xml:space="preserve">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планирования), утвержденного приказом Минстроя России от 23 декабря 2019 г. </w:t>
      </w:r>
      <w:r>
        <w:rPr>
          <w:rFonts w:ascii="PT Astra Serif" w:hAnsi="PT Astra Serif"/>
          <w:sz w:val="26"/>
          <w:szCs w:val="26"/>
        </w:rPr>
        <w:t>№</w:t>
      </w:r>
      <w:r w:rsidRPr="00175647">
        <w:rPr>
          <w:rFonts w:ascii="PT Astra Serif" w:hAnsi="PT Astra Serif"/>
          <w:sz w:val="26"/>
          <w:szCs w:val="26"/>
        </w:rPr>
        <w:t xml:space="preserve"> 841/</w:t>
      </w:r>
      <w:proofErr w:type="spellStart"/>
      <w:r w:rsidRPr="00175647">
        <w:rPr>
          <w:rFonts w:ascii="PT Astra Serif" w:hAnsi="PT Astra Serif"/>
          <w:sz w:val="26"/>
          <w:szCs w:val="26"/>
        </w:rPr>
        <w:t>пр</w:t>
      </w:r>
      <w:proofErr w:type="spellEnd"/>
      <w:r w:rsidRPr="00175647">
        <w:rPr>
          <w:rFonts w:ascii="PT Astra Serif" w:hAnsi="PT Astra Serif"/>
          <w:sz w:val="26"/>
          <w:szCs w:val="26"/>
        </w:rPr>
        <w:t xml:space="preserve"> (далее соответственно - НМЦК, Порядок N 841/</w:t>
      </w:r>
      <w:proofErr w:type="spellStart"/>
      <w:r w:rsidRPr="00175647">
        <w:rPr>
          <w:rFonts w:ascii="PT Astra Serif" w:hAnsi="PT Astra Serif"/>
          <w:sz w:val="26"/>
          <w:szCs w:val="26"/>
        </w:rPr>
        <w:t>пр</w:t>
      </w:r>
      <w:proofErr w:type="spellEnd"/>
      <w:r w:rsidRPr="00175647">
        <w:rPr>
          <w:rFonts w:ascii="PT Astra Serif" w:hAnsi="PT Astra Serif"/>
          <w:sz w:val="26"/>
          <w:szCs w:val="26"/>
        </w:rPr>
        <w:t xml:space="preserve">), по решению заказчика положения Порядка </w:t>
      </w:r>
      <w:r>
        <w:rPr>
          <w:rFonts w:ascii="PT Astra Serif" w:hAnsi="PT Astra Serif"/>
          <w:sz w:val="26"/>
          <w:szCs w:val="26"/>
        </w:rPr>
        <w:t>№</w:t>
      </w:r>
      <w:r w:rsidRPr="00175647">
        <w:rPr>
          <w:rFonts w:ascii="PT Astra Serif" w:hAnsi="PT Astra Serif"/>
          <w:sz w:val="26"/>
          <w:szCs w:val="26"/>
        </w:rPr>
        <w:t xml:space="preserve"> 841/</w:t>
      </w:r>
      <w:proofErr w:type="spellStart"/>
      <w:r w:rsidRPr="00175647">
        <w:rPr>
          <w:rFonts w:ascii="PT Astra Serif" w:hAnsi="PT Astra Serif"/>
          <w:sz w:val="26"/>
          <w:szCs w:val="26"/>
        </w:rPr>
        <w:t>пр</w:t>
      </w:r>
      <w:proofErr w:type="spellEnd"/>
      <w:r w:rsidRPr="00175647">
        <w:rPr>
          <w:rFonts w:ascii="PT Astra Serif" w:hAnsi="PT Astra Serif"/>
          <w:sz w:val="26"/>
          <w:szCs w:val="26"/>
        </w:rPr>
        <w:t xml:space="preserve"> могут использоваться при определении и обосновании НМЦК на текущий ремонт зданий, строений, сооружений, помещений, расположенных на территории Российской Федерации, проектно-сметным методом.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75647">
        <w:rPr>
          <w:rFonts w:ascii="PT Astra Serif" w:hAnsi="PT Astra Serif"/>
          <w:sz w:val="26"/>
          <w:szCs w:val="26"/>
        </w:rPr>
        <w:t>Учитывая изложенное, определение сметной стоимости работ по текущему ремонту проектно-сметным методом может выполняться с применением сметных нормативов, сведения о которых включены в ФРСН, если технология выполняемых при текущем ремонте работ совпадает с технологией, предусмотренной соответствующими сметными нормативами. При этом решение о возможности их использования на текущий ремонт зданий, сооружений принимается заказчиком самостоятельно.</w:t>
      </w:r>
    </w:p>
    <w:p w:rsid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75647">
        <w:rPr>
          <w:rFonts w:ascii="PT Astra Serif" w:hAnsi="PT Astra Serif"/>
          <w:sz w:val="26"/>
          <w:szCs w:val="26"/>
        </w:rPr>
        <w:t xml:space="preserve">Дополнительно сообщается, что согласно положениям пункта 179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Минстроя России от 4 августа 2020 г. </w:t>
      </w:r>
      <w:r>
        <w:rPr>
          <w:rFonts w:ascii="PT Astra Serif" w:hAnsi="PT Astra Serif"/>
          <w:sz w:val="26"/>
          <w:szCs w:val="26"/>
        </w:rPr>
        <w:br/>
        <w:t>№</w:t>
      </w:r>
      <w:r w:rsidRPr="00175647">
        <w:rPr>
          <w:rFonts w:ascii="PT Astra Serif" w:hAnsi="PT Astra Serif"/>
          <w:sz w:val="26"/>
          <w:szCs w:val="26"/>
        </w:rPr>
        <w:t xml:space="preserve"> 421/</w:t>
      </w:r>
      <w:proofErr w:type="spellStart"/>
      <w:r w:rsidRPr="00175647">
        <w:rPr>
          <w:rFonts w:ascii="PT Astra Serif" w:hAnsi="PT Astra Serif"/>
          <w:sz w:val="26"/>
          <w:szCs w:val="26"/>
        </w:rPr>
        <w:t>пр</w:t>
      </w:r>
      <w:proofErr w:type="spellEnd"/>
      <w:r w:rsidRPr="00175647">
        <w:rPr>
          <w:rFonts w:ascii="PT Astra Serif" w:hAnsi="PT Astra Serif"/>
          <w:sz w:val="26"/>
          <w:szCs w:val="26"/>
        </w:rPr>
        <w:t xml:space="preserve"> (далее - Методика </w:t>
      </w:r>
      <w:r>
        <w:rPr>
          <w:rFonts w:ascii="PT Astra Serif" w:hAnsi="PT Astra Serif"/>
          <w:sz w:val="26"/>
          <w:szCs w:val="26"/>
        </w:rPr>
        <w:t>№</w:t>
      </w:r>
      <w:r w:rsidRPr="00175647">
        <w:rPr>
          <w:rFonts w:ascii="PT Astra Serif" w:hAnsi="PT Astra Serif"/>
          <w:sz w:val="26"/>
          <w:szCs w:val="26"/>
        </w:rPr>
        <w:t xml:space="preserve"> 421/</w:t>
      </w:r>
      <w:proofErr w:type="spellStart"/>
      <w:r w:rsidRPr="00175647">
        <w:rPr>
          <w:rFonts w:ascii="PT Astra Serif" w:hAnsi="PT Astra Serif"/>
          <w:sz w:val="26"/>
          <w:szCs w:val="26"/>
        </w:rPr>
        <w:t>пр</w:t>
      </w:r>
      <w:proofErr w:type="spellEnd"/>
      <w:r w:rsidRPr="00175647">
        <w:rPr>
          <w:rFonts w:ascii="PT Astra Serif" w:hAnsi="PT Astra Serif"/>
          <w:sz w:val="26"/>
          <w:szCs w:val="26"/>
        </w:rPr>
        <w:t xml:space="preserve">), резерв средств на непредвиденные работы и затраты предназначен для возмещения стоимости работ и затрат, потребность в которых возникает в процессе разработки рабочей документации и (или) в ходе строительства в результате уточнения проектных решений и (или) условий строительства, предусмотренных проектной документацией, и определяется застройщиком или техническим заказчиком по согласованию с главным распорядителем средств соответствующего бюджета (за исключением случаев, когда застройщиком или техническим заказчиком является главный распорядитель бюджетных средств) в размерах, не превышающих установленные подпунктами </w:t>
      </w:r>
      <w:r>
        <w:rPr>
          <w:rFonts w:ascii="PT Astra Serif" w:hAnsi="PT Astra Serif"/>
          <w:sz w:val="26"/>
          <w:szCs w:val="26"/>
        </w:rPr>
        <w:t>«</w:t>
      </w:r>
      <w:r w:rsidRPr="00175647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175647">
        <w:rPr>
          <w:rFonts w:ascii="PT Astra Serif" w:hAnsi="PT Astra Serif"/>
          <w:sz w:val="26"/>
          <w:szCs w:val="26"/>
        </w:rPr>
        <w:t xml:space="preserve"> - </w:t>
      </w:r>
      <w:r>
        <w:rPr>
          <w:rFonts w:ascii="PT Astra Serif" w:hAnsi="PT Astra Serif"/>
          <w:sz w:val="26"/>
          <w:szCs w:val="26"/>
        </w:rPr>
        <w:t>«</w:t>
      </w:r>
      <w:r w:rsidRPr="00175647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»</w:t>
      </w:r>
      <w:r w:rsidRPr="00175647">
        <w:rPr>
          <w:rFonts w:ascii="PT Astra Serif" w:hAnsi="PT Astra Serif"/>
          <w:sz w:val="26"/>
          <w:szCs w:val="26"/>
        </w:rPr>
        <w:t xml:space="preserve"> пункта 179 Методики </w:t>
      </w:r>
      <w:r>
        <w:rPr>
          <w:rFonts w:ascii="PT Astra Serif" w:hAnsi="PT Astra Serif"/>
          <w:sz w:val="26"/>
          <w:szCs w:val="26"/>
        </w:rPr>
        <w:t>№</w:t>
      </w:r>
      <w:r w:rsidRPr="00175647">
        <w:rPr>
          <w:rFonts w:ascii="PT Astra Serif" w:hAnsi="PT Astra Serif"/>
          <w:sz w:val="26"/>
          <w:szCs w:val="26"/>
        </w:rPr>
        <w:t xml:space="preserve"> 421/пр.</w:t>
      </w:r>
    </w:p>
    <w:p w:rsidR="00175647" w:rsidRPr="00175647" w:rsidRDefault="00175647" w:rsidP="0017564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C21357" w:rsidRPr="00175647" w:rsidRDefault="00175647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75647">
        <w:rPr>
          <w:rFonts w:ascii="PT Astra Serif" w:hAnsi="PT Astra Serif"/>
          <w:i/>
          <w:sz w:val="26"/>
          <w:szCs w:val="26"/>
        </w:rPr>
        <w:t xml:space="preserve">Проект постановления Правительства РФ № 02/07/04-25/00156452 «О внесении изменений в постановление Правительства Российской Федерации от 23 декабря 2024 </w:t>
      </w:r>
      <w:r w:rsidRPr="00175647">
        <w:rPr>
          <w:rFonts w:ascii="PT Astra Serif" w:hAnsi="PT Astra Serif"/>
          <w:i/>
          <w:sz w:val="26"/>
          <w:szCs w:val="26"/>
        </w:rPr>
        <w:br/>
        <w:t>№ 1875»</w:t>
      </w:r>
    </w:p>
    <w:p w:rsidR="00255E62" w:rsidRDefault="00175647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175647">
        <w:rPr>
          <w:rFonts w:ascii="PT Astra Serif" w:hAnsi="PT Astra Serif"/>
          <w:sz w:val="26"/>
          <w:szCs w:val="26"/>
        </w:rPr>
        <w:t>Минсельсхоз</w:t>
      </w:r>
      <w:proofErr w:type="spellEnd"/>
      <w:r w:rsidRPr="00175647">
        <w:rPr>
          <w:rFonts w:ascii="PT Astra Serif" w:hAnsi="PT Astra Serif"/>
          <w:sz w:val="26"/>
          <w:szCs w:val="26"/>
        </w:rPr>
        <w:t xml:space="preserve"> России предложил распространить запрет закупок иностранных товаров на рыбную продукцию</w:t>
      </w:r>
      <w:r>
        <w:rPr>
          <w:rFonts w:ascii="PT Astra Serif" w:hAnsi="PT Astra Serif"/>
          <w:sz w:val="26"/>
          <w:szCs w:val="26"/>
        </w:rPr>
        <w:t>.</w:t>
      </w:r>
    </w:p>
    <w:p w:rsidR="0034379C" w:rsidRDefault="0034379C" w:rsidP="0034379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Предлагается исключить из Приложения № 2 к постановлению № 1875, содержащего товары, к которым применяется ограничение, и включить в Приложение № 1 к постановлению № 1875, </w:t>
      </w:r>
      <w:r w:rsidRPr="0034379C">
        <w:rPr>
          <w:rFonts w:ascii="PT Astra Serif" w:hAnsi="PT Astra Serif"/>
          <w:sz w:val="26"/>
          <w:szCs w:val="26"/>
        </w:rPr>
        <w:t xml:space="preserve">содержащего товары, к которым применяется </w:t>
      </w:r>
      <w:r>
        <w:rPr>
          <w:rFonts w:ascii="PT Astra Serif" w:hAnsi="PT Astra Serif"/>
          <w:sz w:val="26"/>
          <w:szCs w:val="26"/>
        </w:rPr>
        <w:t>запрет:</w:t>
      </w:r>
    </w:p>
    <w:p w:rsidR="0034379C" w:rsidRDefault="0034379C" w:rsidP="0034379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продукцию из рыбы свежую, охлажденную или мороженную (код ОКПД 2: 10.20.1);</w:t>
      </w:r>
    </w:p>
    <w:p w:rsidR="0034379C" w:rsidRDefault="0034379C" w:rsidP="0034379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рыбу, приготовленную или консервированную другим способом; икру, заменители икры (код ОКПД 2: 10.20.2);</w:t>
      </w:r>
    </w:p>
    <w:p w:rsidR="0034379C" w:rsidRDefault="0034379C" w:rsidP="0034379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ракообразных, </w:t>
      </w:r>
      <w:proofErr w:type="spellStart"/>
      <w:r>
        <w:rPr>
          <w:rFonts w:ascii="PT Astra Serif" w:hAnsi="PT Astra Serif"/>
          <w:sz w:val="26"/>
          <w:szCs w:val="26"/>
        </w:rPr>
        <w:t>молюссков</w:t>
      </w:r>
      <w:proofErr w:type="spellEnd"/>
      <w:r>
        <w:rPr>
          <w:rFonts w:ascii="PT Astra Serif" w:hAnsi="PT Astra Serif"/>
          <w:sz w:val="26"/>
          <w:szCs w:val="26"/>
        </w:rPr>
        <w:t xml:space="preserve"> и прочих беспозвоночных водных, мороженных, переработанных или консервированных (код ОКПД 2: 10.20.3).</w:t>
      </w:r>
    </w:p>
    <w:p w:rsidR="0034379C" w:rsidRDefault="0034379C" w:rsidP="0034379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подтверждения происхождения указанных товаров предлагается требовать ветеринарные сопроводительные документы, оформленные в соответствии с ветеринарными правилами, предусмотренными статьей 2.3 Закона Российской Федерации от 14 мая 1993 г. № 4979-1 «О ветеринарии».</w:t>
      </w:r>
    </w:p>
    <w:p w:rsidR="0034379C" w:rsidRDefault="0034379C" w:rsidP="0034379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продлится до 16.05.2025.</w:t>
      </w:r>
    </w:p>
    <w:p w:rsidR="0034379C" w:rsidRDefault="00E05546" w:rsidP="0034379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34379C" w:rsidRPr="000D6792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https://regulation.gov.ru/Regulation/Npa/PublicView?npaID=156452</w:t>
        </w:r>
      </w:hyperlink>
    </w:p>
    <w:p w:rsidR="0034379C" w:rsidRPr="00175647" w:rsidRDefault="0034379C" w:rsidP="0034379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402E8">
        <w:rPr>
          <w:rFonts w:ascii="PT Astra Serif" w:hAnsi="PT Astra Serif"/>
          <w:i/>
          <w:sz w:val="26"/>
          <w:szCs w:val="26"/>
        </w:rPr>
        <w:lastRenderedPageBreak/>
        <w:t>Определение Верховного Суда РФ от 16.04.2025 № 304-ЭС25-1066 по делу № А67-3797/2024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Заявитель: Учреждение.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Управление обратилось в Арбитражный суд с заявлением о привлечении Общества к административной ответственности за совершение административного правонарушения, предусмотренного частью 4 статьи 14.1 КоАП РФ.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Управлением в отношении Общества проведена внеплановая выездная проверка в рамках контроля за частной охранной деятельностью в РФ, в ходе которой установлено, что в нарушение части 3 статьи 11 Закона № 2487-1, подпункта «г» пункта 3 Положения о лицензировании частной охранной деятельности, утвержденного постановлением Правительства РФ от 23.06.2011 № 498, Общество осуществляет охранные услуги на объекте Учреждения, на который частная охранная деятельность не распространяется. 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По мнению Управления Обществом допущено грубое нарушение лицензионных требований, предъявляемых к осуществлению частной охранной деятельности. 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Решением суда первой инстанции Общество привлечено к административной ответственности предусмотренной частью 4 статьи 14.1 КоАП РФ, назначена мера наказания в виде штрафа в размере 4 000 руб.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Не согласившись с решением суда первой инстанции, Учреждение обратилось в суд с апелляционной жалобой.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Суд апелляционной инстанции, поддерживая выводы суда первой инстанции, исходил из следующего. 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Объект Учреждения является объектом федеральной собственности, находящимся в ведении Минтруда России, который предоставлен Учреждению на праве оперативного управления, и, соответственно, подлежит государственной охране. На данный объект частная охранная деятельность не распространяется.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При данных обстоятельствах оказание охранных услуг могут осуществлять только организации, деятельность которых распространяется на охрану объектов, подлежащих государственной охране в соответствии с пунктом 1 Перечня объектов, утвержденный постановлением Правительства РФ от 14.08.1992 № 587.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Общество является негосударственной организацией, осуществляет частную охранную деятельность и не имеет полномочий на выполнение государственной охраны объектов, перечисленных в пункте 1 Приложения № 1 к постановлению Правительства РФ от 14.08.1992 № 587.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Соответственно, осуществление Обществом охраны объектов, предусмотренных Законом № 57-ФЗ, иных объектов, на которые охранная деятельность не распространяется, является грубым нарушением лицензионных требований.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Суд кассационной инстанции, отменяя решения двух нижестоящих инстанций, исходил из следующего.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Пунктом 1 Перечня № 587 к объектам, на которые частная охранная деятельность не распространяется, отнесены здания (помещения), строения, сооружения, прилегающие к ним территории и акватории, используемые федеральными органами законодательной и исполнительной власти, иными государственными органами РФ.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Данное правовое регулирование (ограничение) направлено на надлежащее обеспечение безопасности указанных объектов ввиду их особого статуса (определение Конституционного Суда РФ от 21.12.2011 № 1863-О-О).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В целях применения пункта 1 вышеуказанного Перечня определяющее значение имеет факт использования таких объектов федеральными органами законодательной и </w:t>
      </w:r>
      <w:r w:rsidRPr="00E402E8">
        <w:rPr>
          <w:rFonts w:ascii="PT Astra Serif" w:hAnsi="PT Astra Serif"/>
          <w:sz w:val="26"/>
          <w:szCs w:val="26"/>
        </w:rPr>
        <w:lastRenderedPageBreak/>
        <w:t>исполнительной власти и иными государственными органами РФ в процессе осуществления деятельности.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Учреждение, являясь некоммерческой организацией, подведомственной Минтруду России, не входит в систему государственных органов и, следовательно, объект (здание) Учреждения не относится к объектам, поименованным в пункте 1 Перечня № 587.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При этом, вопреки позиции административного органа, поддержанной судами, нахождение охраняемого объекта в федеральной собственности само по себе не является основанием для отнесения его к объектам, подлежащим государственной охране в силу пункта 1 Перечня № 587. 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ab/>
        <w:t>Верховный Суд Российской Федерации не установил оснований для пересмотра дела.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  <w:r w:rsidRPr="001A07F0">
        <w:rPr>
          <w:rFonts w:ascii="PT Astra Serif" w:hAnsi="PT Astra Serif"/>
          <w:i/>
          <w:sz w:val="26"/>
          <w:szCs w:val="26"/>
        </w:rPr>
        <w:t xml:space="preserve">Постановление Арбитражного суда </w:t>
      </w:r>
      <w:proofErr w:type="gramStart"/>
      <w:r w:rsidRPr="001A07F0">
        <w:rPr>
          <w:rFonts w:ascii="PT Astra Serif" w:hAnsi="PT Astra Serif"/>
          <w:i/>
          <w:sz w:val="26"/>
          <w:szCs w:val="26"/>
        </w:rPr>
        <w:t>Восточно-Сибирского</w:t>
      </w:r>
      <w:proofErr w:type="gramEnd"/>
      <w:r w:rsidRPr="001A07F0">
        <w:rPr>
          <w:rFonts w:ascii="PT Astra Serif" w:hAnsi="PT Astra Serif"/>
          <w:i/>
          <w:sz w:val="26"/>
          <w:szCs w:val="26"/>
        </w:rPr>
        <w:t xml:space="preserve"> округа от 04.04.2025 </w:t>
      </w:r>
      <w:r>
        <w:rPr>
          <w:rFonts w:ascii="PT Astra Serif" w:hAnsi="PT Astra Serif"/>
          <w:i/>
          <w:sz w:val="26"/>
          <w:szCs w:val="26"/>
        </w:rPr>
        <w:t xml:space="preserve">   </w:t>
      </w:r>
      <w:r>
        <w:rPr>
          <w:rFonts w:ascii="PT Astra Serif" w:hAnsi="PT Astra Serif"/>
          <w:i/>
          <w:sz w:val="26"/>
          <w:szCs w:val="26"/>
        </w:rPr>
        <w:br/>
      </w:r>
      <w:r>
        <w:rPr>
          <w:rFonts w:ascii="PT Astra Serif" w:hAnsi="PT Astra Serif"/>
          <w:i/>
          <w:sz w:val="26"/>
          <w:szCs w:val="26"/>
        </w:rPr>
        <w:t xml:space="preserve"> </w:t>
      </w:r>
      <w:r w:rsidRPr="001A07F0">
        <w:rPr>
          <w:rFonts w:ascii="PT Astra Serif" w:hAnsi="PT Astra Serif"/>
          <w:i/>
          <w:sz w:val="26"/>
          <w:szCs w:val="26"/>
        </w:rPr>
        <w:t xml:space="preserve">№ </w:t>
      </w:r>
      <w:r w:rsidRPr="00860548">
        <w:rPr>
          <w:rFonts w:ascii="PT Astra Serif" w:hAnsi="PT Astra Serif"/>
          <w:i/>
          <w:sz w:val="26"/>
          <w:szCs w:val="26"/>
        </w:rPr>
        <w:t>А33-22160/2024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Учреждение (Заказчик)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Между Обществом и Учреждением заключен контракт на выполнение работ по ремонту моста. 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связи с выявлением Заказчиком несоответствия Общества установленным в извещении требованиям, а именно в связи с привлечением Общества к административной ответственности за совершение правонарушения, предусмотренного статьей 19.28 КоАП РФ, постановлением мирового судьи, вступившим в законную силу после заключения контракта, Заказчиком принято решение об одностороннем отказе от исполнения контракта. 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 обратилось в суд с иском о признании недействительным одностороннего отказа Заказчика от исполнения контракта. 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Удовлетворяя требования Общества, суды первой, апелляционной и кассационной инстанции исходили из следующего. 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требованиям к содержанию, составу заявки на участие в электронном конкурсе такая заявка должна содержать декларацию о соответствии участника закупки требованиям, установленным, в том числе пунктом 7.1 части 1 статьи 31 Закона № 44-ФЗ, в соответствии с которым юридическое лицо не должно быть привлечено к административной ответственности за совершение административного правонарушения, предусмотренного статьей 19.28 КоАП РФ, в течение двух лет до момента подачи заявки на участие в закупке. 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Соответствие заявки Общества установленным извещением требованиям подтверждается протоколом подведения итогов электронного конкурса. Общество было признано победителем и контракт с был заключен до привлечения к административной ответственности. 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выводу, что на момент подачи заявки на участие в закупке Общество соответствовало указанному требованию. Следовательно, основания для принятия решения об одностороннем отказе от исполнения контракта у Заказчика отсутствовали. </w:t>
      </w:r>
    </w:p>
    <w:p w:rsidR="00E402E8" w:rsidRP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402E8">
        <w:rPr>
          <w:rFonts w:ascii="PT Astra Serif" w:hAnsi="PT Astra Serif"/>
          <w:i/>
          <w:sz w:val="26"/>
          <w:szCs w:val="26"/>
        </w:rPr>
        <w:t>Решение Магаданского УФАС России от 10.04.2025 по делу № 049/06/51-109/2025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Заявитель: Победитель.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Победитель обратился в антимонопольный орган с жалобой на действия Заказчика по отказу от заключения контракта с Победителем на основании части 9 статьи 31 Закона </w:t>
      </w:r>
      <w:r w:rsidRPr="00E402E8">
        <w:rPr>
          <w:rFonts w:ascii="PT Astra Serif" w:hAnsi="PT Astra Serif"/>
          <w:sz w:val="26"/>
          <w:szCs w:val="26"/>
        </w:rPr>
        <w:br/>
        <w:t>№ 44-ФЗ ввиду несоответствия Победителя закупки требованиям части 1 статьи 31 Закона № 44-ФЗ.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Антимонопольный орган, признавая жалобу Победителя обоснованной, исходил из следующего.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lastRenderedPageBreak/>
        <w:t>Заказчиком в извещении установлены единые требования в соответствии с пунктами 3-5, 7-11 части 1 статьи 31 Закона № 44-ФЗ, а также требование об отсутствии информации об участнике закупки в РНП в соответствии с частью 1.1. статьи 31 Закона № 44-ФЗ.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В соответствии с протоколом подведения итогов определения поставщика (подрядчика, исполнителя) заявка Победителя признана комиссией по осуществлению закупки соответствующей требованиям извещения. 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Вместе с тем, Заказчик разместил протокол об отказе от заключения контракта с Победителем на основании части 9 статьи 31 Закона № 44-ФЗ, ввиду несоответствия Победителя закупки требованиям части 1 статьи 31 Закона № 44-ФЗ, обосновывая отказ тем, что в отношении Победителя выявлено большое количество возбужденных и неоплаченных исполнительных листов в разных регионах РФ, Победитель является ответчиком в 48 судебных делах, что говорит о регулярном нарушении условий договорных отношений, ранее Победитель неоднократно был внесен в РНП.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В силу части 9 статьи 31 Закона № 44-ФЗ 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 1, частях 1.1, 2 и 2.1 (при наличии таких требований) статьи 31 Закона № 44-ФЗ, или предоставил недостоверную информацию в отношении своего соответствия указанным требованиям.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Антимонопольный орган установил, что согласно </w:t>
      </w:r>
      <w:proofErr w:type="gramStart"/>
      <w:r w:rsidRPr="00E402E8">
        <w:rPr>
          <w:rFonts w:ascii="PT Astra Serif" w:hAnsi="PT Astra Serif"/>
          <w:sz w:val="26"/>
          <w:szCs w:val="26"/>
        </w:rPr>
        <w:t>выписке</w:t>
      </w:r>
      <w:proofErr w:type="gramEnd"/>
      <w:r w:rsidRPr="00E402E8">
        <w:rPr>
          <w:rFonts w:ascii="PT Astra Serif" w:hAnsi="PT Astra Serif"/>
          <w:sz w:val="26"/>
          <w:szCs w:val="26"/>
        </w:rPr>
        <w:t xml:space="preserve"> из ЕГРИП Победитель является действующим участником рынка, не находится в процессе ликвидации либо банкротства, деятельность Победителя не приостановлена. 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По результатам рассмотрения запроса ФНС России указала на отсутствие недоимки по налогам, страховым взносам, сборам, задолженности по иным обязательным платежам. 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В соответствии с данными ЕИС Победитель исключен из реестра недобросовестных поставщиков. 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На основании изложенного комиссия антимонопольного органа пришла к выводу, что в период проведения Заказчиком электронного аукциона Победитель закупки соответствовал требованиям извещения, статьи 31 Закона № 44-ФЗ.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>В действиях Заказчика выявлено нарушение части 9 статьи 31 Закона № 44-ФЗ, выдано предписание об устранении нарушений.</w:t>
      </w:r>
    </w:p>
    <w:p w:rsid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12140B" w:rsidRPr="00E402E8" w:rsidRDefault="0012140B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F1653" w:rsidRPr="00136FE2" w:rsidRDefault="004F1653" w:rsidP="00410C1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4F1653" w:rsidRPr="00136FE2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546" w:rsidRDefault="00E05546" w:rsidP="00DF12FF">
      <w:r>
        <w:separator/>
      </w:r>
    </w:p>
  </w:endnote>
  <w:endnote w:type="continuationSeparator" w:id="0">
    <w:p w:rsidR="00E05546" w:rsidRDefault="00E05546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546" w:rsidRDefault="00E05546" w:rsidP="00DF12FF">
      <w:r>
        <w:separator/>
      </w:r>
    </w:p>
  </w:footnote>
  <w:footnote w:type="continuationSeparator" w:id="0">
    <w:p w:rsidR="00E05546" w:rsidRDefault="00E05546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140B">
          <w:rPr>
            <w:noProof/>
          </w:rPr>
          <w:t>6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4AA9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F99"/>
    <w:rsid w:val="00115EB4"/>
    <w:rsid w:val="00116086"/>
    <w:rsid w:val="001165C8"/>
    <w:rsid w:val="00116641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05B2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3D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4B4A"/>
    <w:rsid w:val="00237455"/>
    <w:rsid w:val="0023768F"/>
    <w:rsid w:val="00240AF6"/>
    <w:rsid w:val="00240E43"/>
    <w:rsid w:val="00241EF9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4B05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6A19"/>
    <w:rsid w:val="00397ABA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9D0"/>
    <w:rsid w:val="00894EE9"/>
    <w:rsid w:val="008963CE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3E9B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5CBB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3967"/>
    <w:rsid w:val="009E412F"/>
    <w:rsid w:val="009E4619"/>
    <w:rsid w:val="009E5578"/>
    <w:rsid w:val="009E663B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AE"/>
    <w:rsid w:val="00A44B0F"/>
    <w:rsid w:val="00A4546C"/>
    <w:rsid w:val="00A46488"/>
    <w:rsid w:val="00A46BE1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C8"/>
    <w:rsid w:val="00A73DF8"/>
    <w:rsid w:val="00A74257"/>
    <w:rsid w:val="00A74413"/>
    <w:rsid w:val="00A74E8F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640"/>
    <w:rsid w:val="00BA19D5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166F"/>
    <w:rsid w:val="00CA27F1"/>
    <w:rsid w:val="00CA2877"/>
    <w:rsid w:val="00CA297D"/>
    <w:rsid w:val="00CA2C67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A48"/>
    <w:rsid w:val="00CB40F8"/>
    <w:rsid w:val="00CB4BD3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27DF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13DC"/>
    <w:rsid w:val="00FE2135"/>
    <w:rsid w:val="00FE24C3"/>
    <w:rsid w:val="00FE283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64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97667-DE1F-44AA-91FA-F630D68BE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6269</TotalTime>
  <Pages>6</Pages>
  <Words>2644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586</cp:revision>
  <cp:lastPrinted>2025-04-21T02:49:00Z</cp:lastPrinted>
  <dcterms:created xsi:type="dcterms:W3CDTF">2023-10-09T01:54:00Z</dcterms:created>
  <dcterms:modified xsi:type="dcterms:W3CDTF">2025-04-28T09:43:00Z</dcterms:modified>
</cp:coreProperties>
</file>