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3A8" w:rsidRDefault="000F13A8" w:rsidP="000F13A8">
      <w:pPr>
        <w:spacing w:after="120" w:line="240" w:lineRule="auto"/>
        <w:ind w:firstLine="709"/>
        <w:jc w:val="both"/>
        <w:rPr>
          <w:b/>
          <w:sz w:val="24"/>
          <w:szCs w:val="24"/>
        </w:rPr>
      </w:pPr>
      <w:r w:rsidRPr="00C45199">
        <w:rPr>
          <w:b/>
          <w:sz w:val="24"/>
          <w:szCs w:val="24"/>
        </w:rPr>
        <w:t>МОНИТОРИНГ</w:t>
      </w:r>
      <w:r>
        <w:rPr>
          <w:b/>
          <w:sz w:val="24"/>
          <w:szCs w:val="24"/>
        </w:rPr>
        <w:t xml:space="preserve"> на </w:t>
      </w:r>
      <w:r w:rsidR="00D723DD">
        <w:rPr>
          <w:b/>
          <w:sz w:val="24"/>
          <w:szCs w:val="24"/>
        </w:rPr>
        <w:t>20</w:t>
      </w:r>
      <w:r>
        <w:rPr>
          <w:b/>
          <w:sz w:val="24"/>
          <w:szCs w:val="24"/>
        </w:rPr>
        <w:t>.</w:t>
      </w:r>
      <w:r w:rsidR="00875C2D">
        <w:rPr>
          <w:b/>
          <w:sz w:val="24"/>
          <w:szCs w:val="24"/>
        </w:rPr>
        <w:t>10</w:t>
      </w:r>
      <w:r>
        <w:rPr>
          <w:b/>
          <w:sz w:val="24"/>
          <w:szCs w:val="24"/>
        </w:rPr>
        <w:t>.2025</w:t>
      </w:r>
    </w:p>
    <w:tbl>
      <w:tblPr>
        <w:tblStyle w:val="a3"/>
        <w:tblW w:w="10064" w:type="dxa"/>
        <w:tblInd w:w="-6" w:type="dxa"/>
        <w:tblLook w:val="0000" w:firstRow="0" w:lastRow="0" w:firstColumn="0" w:lastColumn="0" w:noHBand="0" w:noVBand="0"/>
      </w:tblPr>
      <w:tblGrid>
        <w:gridCol w:w="6"/>
        <w:gridCol w:w="3980"/>
        <w:gridCol w:w="6078"/>
      </w:tblGrid>
      <w:tr w:rsidR="00A222B7" w:rsidTr="00D01FA0">
        <w:trPr>
          <w:gridBefore w:val="1"/>
          <w:wBefore w:w="6" w:type="dxa"/>
          <w:trHeight w:val="164"/>
        </w:trPr>
        <w:tc>
          <w:tcPr>
            <w:tcW w:w="10058" w:type="dxa"/>
            <w:gridSpan w:val="2"/>
          </w:tcPr>
          <w:p w:rsidR="00A222B7" w:rsidRPr="00875C2D" w:rsidRDefault="00D723DD" w:rsidP="00C57695">
            <w:pPr>
              <w:pStyle w:val="a4"/>
              <w:numPr>
                <w:ilvl w:val="0"/>
                <w:numId w:val="3"/>
              </w:numPr>
              <w:ind w:left="596" w:hanging="567"/>
              <w:jc w:val="both"/>
              <w:rPr>
                <w:b/>
                <w:sz w:val="26"/>
                <w:szCs w:val="26"/>
              </w:rPr>
            </w:pPr>
            <w:r>
              <w:rPr>
                <w:b/>
                <w:sz w:val="26"/>
                <w:szCs w:val="26"/>
              </w:rPr>
              <w:t>Письмо Минфина России от 03.10.2025 № 24-06-09/95869</w:t>
            </w:r>
          </w:p>
        </w:tc>
      </w:tr>
      <w:tr w:rsidR="00A222B7" w:rsidTr="00D01FA0">
        <w:trPr>
          <w:gridBefore w:val="1"/>
          <w:wBefore w:w="6" w:type="dxa"/>
          <w:trHeight w:val="156"/>
        </w:trPr>
        <w:tc>
          <w:tcPr>
            <w:tcW w:w="10058" w:type="dxa"/>
            <w:gridSpan w:val="2"/>
          </w:tcPr>
          <w:p w:rsidR="00A222B7" w:rsidRPr="00E45E31" w:rsidRDefault="00C158E6" w:rsidP="00D723DD">
            <w:pPr>
              <w:ind w:left="1"/>
              <w:jc w:val="both"/>
              <w:rPr>
                <w:sz w:val="26"/>
                <w:szCs w:val="26"/>
              </w:rPr>
            </w:pPr>
            <w:r>
              <w:rPr>
                <w:sz w:val="26"/>
                <w:szCs w:val="26"/>
              </w:rPr>
              <w:t xml:space="preserve">       </w:t>
            </w:r>
            <w:r w:rsidR="00D0173A">
              <w:rPr>
                <w:sz w:val="26"/>
                <w:szCs w:val="26"/>
              </w:rPr>
              <w:t xml:space="preserve"> </w:t>
            </w:r>
            <w:r w:rsidR="00D723DD">
              <w:rPr>
                <w:sz w:val="26"/>
                <w:szCs w:val="26"/>
              </w:rPr>
              <w:t>Минфин России разъяснил сроки направления претензии поставщику (подрядчику, исполнителю)</w:t>
            </w:r>
          </w:p>
        </w:tc>
      </w:tr>
      <w:tr w:rsidR="00A222B7" w:rsidTr="00D01FA0">
        <w:trPr>
          <w:gridBefore w:val="1"/>
          <w:wBefore w:w="6" w:type="dxa"/>
          <w:trHeight w:val="171"/>
        </w:trPr>
        <w:tc>
          <w:tcPr>
            <w:tcW w:w="10058" w:type="dxa"/>
            <w:gridSpan w:val="2"/>
          </w:tcPr>
          <w:p w:rsidR="00A222B7" w:rsidRPr="00287610" w:rsidRDefault="00FB6C9B" w:rsidP="00C57695">
            <w:pPr>
              <w:pStyle w:val="a4"/>
              <w:numPr>
                <w:ilvl w:val="0"/>
                <w:numId w:val="4"/>
              </w:numPr>
              <w:ind w:left="596" w:hanging="567"/>
              <w:jc w:val="both"/>
              <w:rPr>
                <w:b/>
                <w:sz w:val="26"/>
                <w:szCs w:val="26"/>
              </w:rPr>
            </w:pPr>
            <w:r>
              <w:rPr>
                <w:b/>
                <w:sz w:val="26"/>
                <w:szCs w:val="26"/>
              </w:rPr>
              <w:t>Письмо Минфина России от 06.10.2025 № 24-06-09/96576</w:t>
            </w:r>
          </w:p>
        </w:tc>
      </w:tr>
      <w:tr w:rsidR="00A222B7" w:rsidTr="00D01FA0">
        <w:trPr>
          <w:gridBefore w:val="1"/>
          <w:wBefore w:w="6" w:type="dxa"/>
          <w:trHeight w:val="210"/>
        </w:trPr>
        <w:tc>
          <w:tcPr>
            <w:tcW w:w="10058" w:type="dxa"/>
            <w:gridSpan w:val="2"/>
          </w:tcPr>
          <w:p w:rsidR="00A222B7" w:rsidRPr="00A7343E" w:rsidRDefault="00C158E6" w:rsidP="00D723DD">
            <w:pPr>
              <w:jc w:val="both"/>
              <w:rPr>
                <w:sz w:val="26"/>
                <w:szCs w:val="26"/>
              </w:rPr>
            </w:pPr>
            <w:r>
              <w:rPr>
                <w:sz w:val="26"/>
                <w:szCs w:val="26"/>
              </w:rPr>
              <w:t xml:space="preserve">         </w:t>
            </w:r>
            <w:r w:rsidR="00FB6C9B">
              <w:rPr>
                <w:sz w:val="26"/>
                <w:szCs w:val="26"/>
              </w:rPr>
              <w:t>Минфин России разъяснил вопросы описания объекта закупки в соответствии с требованиями Постановления № 1875</w:t>
            </w:r>
          </w:p>
        </w:tc>
      </w:tr>
      <w:tr w:rsidR="00287610" w:rsidTr="00D01FA0">
        <w:trPr>
          <w:gridBefore w:val="1"/>
          <w:wBefore w:w="6" w:type="dxa"/>
          <w:trHeight w:val="210"/>
        </w:trPr>
        <w:tc>
          <w:tcPr>
            <w:tcW w:w="10058" w:type="dxa"/>
            <w:gridSpan w:val="2"/>
          </w:tcPr>
          <w:p w:rsidR="00287610" w:rsidRPr="00121848" w:rsidRDefault="005E0FB9" w:rsidP="003643FE">
            <w:pPr>
              <w:pStyle w:val="a4"/>
              <w:numPr>
                <w:ilvl w:val="0"/>
                <w:numId w:val="3"/>
              </w:numPr>
              <w:ind w:left="596" w:hanging="567"/>
              <w:jc w:val="both"/>
              <w:rPr>
                <w:b/>
                <w:sz w:val="26"/>
                <w:szCs w:val="26"/>
              </w:rPr>
            </w:pPr>
            <w:r>
              <w:rPr>
                <w:b/>
                <w:sz w:val="26"/>
                <w:szCs w:val="26"/>
              </w:rPr>
              <w:t>Письмо Минфина России от 14.10.2025 № 24-06-06/99307</w:t>
            </w:r>
          </w:p>
        </w:tc>
      </w:tr>
      <w:tr w:rsidR="00287610" w:rsidTr="00D01FA0">
        <w:trPr>
          <w:gridBefore w:val="1"/>
          <w:wBefore w:w="6" w:type="dxa"/>
          <w:trHeight w:val="210"/>
        </w:trPr>
        <w:tc>
          <w:tcPr>
            <w:tcW w:w="10058" w:type="dxa"/>
            <w:gridSpan w:val="2"/>
          </w:tcPr>
          <w:p w:rsidR="00287610" w:rsidRPr="00D0173A" w:rsidRDefault="00287610" w:rsidP="005E0FB9">
            <w:pPr>
              <w:ind w:left="1"/>
              <w:jc w:val="both"/>
              <w:rPr>
                <w:sz w:val="26"/>
                <w:szCs w:val="26"/>
              </w:rPr>
            </w:pPr>
            <w:r>
              <w:rPr>
                <w:sz w:val="26"/>
                <w:szCs w:val="26"/>
              </w:rPr>
              <w:t xml:space="preserve">        </w:t>
            </w:r>
            <w:r w:rsidR="00D0173A">
              <w:rPr>
                <w:sz w:val="26"/>
                <w:szCs w:val="26"/>
              </w:rPr>
              <w:t xml:space="preserve"> </w:t>
            </w:r>
            <w:r w:rsidR="005E0FB9">
              <w:rPr>
                <w:sz w:val="26"/>
                <w:szCs w:val="26"/>
              </w:rPr>
              <w:t>Минфин России разъяснил порядок обоснования НМЦК по Постановлению № 1875</w:t>
            </w:r>
          </w:p>
        </w:tc>
      </w:tr>
      <w:tr w:rsidR="00577134" w:rsidRPr="00121848" w:rsidTr="00D01FA0">
        <w:trPr>
          <w:gridBefore w:val="1"/>
          <w:wBefore w:w="6" w:type="dxa"/>
          <w:trHeight w:val="210"/>
        </w:trPr>
        <w:tc>
          <w:tcPr>
            <w:tcW w:w="10058" w:type="dxa"/>
            <w:gridSpan w:val="2"/>
          </w:tcPr>
          <w:p w:rsidR="00577134" w:rsidRPr="00121848" w:rsidRDefault="00EB5E78" w:rsidP="00577134">
            <w:pPr>
              <w:pStyle w:val="a4"/>
              <w:numPr>
                <w:ilvl w:val="0"/>
                <w:numId w:val="3"/>
              </w:numPr>
              <w:ind w:left="596" w:hanging="567"/>
              <w:jc w:val="both"/>
              <w:rPr>
                <w:b/>
                <w:sz w:val="26"/>
                <w:szCs w:val="26"/>
              </w:rPr>
            </w:pPr>
            <w:r>
              <w:rPr>
                <w:b/>
                <w:sz w:val="26"/>
                <w:szCs w:val="26"/>
              </w:rPr>
              <w:t>Письмо ФАС России от 08.10.2025 № ГР/94541-ПР/25</w:t>
            </w:r>
          </w:p>
        </w:tc>
      </w:tr>
      <w:tr w:rsidR="00577134" w:rsidRPr="00D0173A" w:rsidTr="00D01FA0">
        <w:trPr>
          <w:gridBefore w:val="1"/>
          <w:wBefore w:w="6" w:type="dxa"/>
          <w:trHeight w:val="210"/>
        </w:trPr>
        <w:tc>
          <w:tcPr>
            <w:tcW w:w="10058" w:type="dxa"/>
            <w:gridSpan w:val="2"/>
          </w:tcPr>
          <w:p w:rsidR="00577134" w:rsidRPr="00D0173A" w:rsidRDefault="00577134" w:rsidP="00D723DD">
            <w:pPr>
              <w:ind w:left="1"/>
              <w:jc w:val="both"/>
              <w:rPr>
                <w:sz w:val="26"/>
                <w:szCs w:val="26"/>
              </w:rPr>
            </w:pPr>
            <w:r>
              <w:rPr>
                <w:sz w:val="26"/>
                <w:szCs w:val="26"/>
              </w:rPr>
              <w:t xml:space="preserve">         </w:t>
            </w:r>
            <w:r w:rsidR="00EB5E78">
              <w:rPr>
                <w:sz w:val="26"/>
                <w:szCs w:val="26"/>
              </w:rPr>
              <w:t>ФАС России разъяснила вопросы подтверждения соответствия участника закупки дополнительным требованиям, установленным позицией 33 Постановления № 2571</w:t>
            </w:r>
          </w:p>
        </w:tc>
      </w:tr>
      <w:tr w:rsidR="00EB5E78" w:rsidRPr="00121848" w:rsidTr="00D01FA0">
        <w:trPr>
          <w:gridBefore w:val="1"/>
          <w:wBefore w:w="6" w:type="dxa"/>
          <w:trHeight w:val="210"/>
        </w:trPr>
        <w:tc>
          <w:tcPr>
            <w:tcW w:w="10058" w:type="dxa"/>
            <w:gridSpan w:val="2"/>
          </w:tcPr>
          <w:p w:rsidR="00EB5E78" w:rsidRPr="00121848" w:rsidRDefault="00EB5E78" w:rsidP="00EB5E78">
            <w:pPr>
              <w:pStyle w:val="a4"/>
              <w:numPr>
                <w:ilvl w:val="0"/>
                <w:numId w:val="3"/>
              </w:numPr>
              <w:ind w:left="596" w:hanging="567"/>
              <w:jc w:val="both"/>
              <w:rPr>
                <w:b/>
                <w:sz w:val="26"/>
                <w:szCs w:val="26"/>
              </w:rPr>
            </w:pPr>
            <w:r>
              <w:rPr>
                <w:b/>
                <w:sz w:val="26"/>
                <w:szCs w:val="26"/>
              </w:rPr>
              <w:t>Проект постановления Правительства РФ № 01/01/10-25/00161276</w:t>
            </w:r>
          </w:p>
        </w:tc>
      </w:tr>
      <w:tr w:rsidR="00EB5E78" w:rsidRPr="00D0173A" w:rsidTr="00D01FA0">
        <w:trPr>
          <w:gridBefore w:val="1"/>
          <w:wBefore w:w="6" w:type="dxa"/>
          <w:trHeight w:val="210"/>
        </w:trPr>
        <w:tc>
          <w:tcPr>
            <w:tcW w:w="10058" w:type="dxa"/>
            <w:gridSpan w:val="2"/>
          </w:tcPr>
          <w:p w:rsidR="00EB5E78" w:rsidRPr="00D0173A" w:rsidRDefault="00EB5E78" w:rsidP="00EB5E78">
            <w:pPr>
              <w:ind w:left="1"/>
              <w:jc w:val="both"/>
              <w:rPr>
                <w:sz w:val="26"/>
                <w:szCs w:val="26"/>
              </w:rPr>
            </w:pPr>
            <w:r>
              <w:rPr>
                <w:sz w:val="26"/>
                <w:szCs w:val="26"/>
              </w:rPr>
              <w:t xml:space="preserve">         </w:t>
            </w:r>
            <w:proofErr w:type="spellStart"/>
            <w:r>
              <w:rPr>
                <w:sz w:val="26"/>
                <w:szCs w:val="26"/>
              </w:rPr>
              <w:t>Минпромторг</w:t>
            </w:r>
            <w:proofErr w:type="spellEnd"/>
            <w:r>
              <w:rPr>
                <w:sz w:val="26"/>
                <w:szCs w:val="26"/>
              </w:rPr>
              <w:t xml:space="preserve"> России предложил расширить перечень </w:t>
            </w:r>
            <w:proofErr w:type="spellStart"/>
            <w:r>
              <w:rPr>
                <w:sz w:val="26"/>
                <w:szCs w:val="26"/>
              </w:rPr>
              <w:t>медизделий</w:t>
            </w:r>
            <w:proofErr w:type="spellEnd"/>
            <w:r>
              <w:rPr>
                <w:sz w:val="26"/>
                <w:szCs w:val="26"/>
              </w:rPr>
              <w:t>, на которые распространяются ограничения национального режима</w:t>
            </w:r>
          </w:p>
        </w:tc>
      </w:tr>
      <w:tr w:rsidR="00287610" w:rsidRPr="00C45199" w:rsidTr="00D01FA0">
        <w:tblPrEx>
          <w:tblLook w:val="04A0" w:firstRow="1" w:lastRow="0" w:firstColumn="1" w:lastColumn="0" w:noHBand="0" w:noVBand="1"/>
        </w:tblPrEx>
        <w:trPr>
          <w:trHeight w:val="164"/>
        </w:trPr>
        <w:tc>
          <w:tcPr>
            <w:tcW w:w="10064" w:type="dxa"/>
            <w:gridSpan w:val="3"/>
          </w:tcPr>
          <w:p w:rsidR="00287610" w:rsidRPr="00C45199" w:rsidRDefault="00287610" w:rsidP="00287610">
            <w:pPr>
              <w:pStyle w:val="a4"/>
              <w:numPr>
                <w:ilvl w:val="0"/>
                <w:numId w:val="1"/>
              </w:numPr>
              <w:ind w:left="602" w:hanging="602"/>
              <w:jc w:val="both"/>
              <w:rPr>
                <w:b/>
                <w:sz w:val="26"/>
                <w:szCs w:val="26"/>
              </w:rPr>
            </w:pPr>
            <w:r>
              <w:rPr>
                <w:b/>
                <w:sz w:val="26"/>
                <w:szCs w:val="26"/>
                <w:shd w:val="clear" w:color="auto" w:fill="FFFFFF"/>
              </w:rPr>
              <w:t>Судебная и административная практика</w:t>
            </w:r>
          </w:p>
        </w:tc>
      </w:tr>
      <w:tr w:rsidR="005751FF" w:rsidRPr="00C45199" w:rsidTr="00D01FA0">
        <w:tblPrEx>
          <w:tblLook w:val="04A0" w:firstRow="1" w:lastRow="0" w:firstColumn="1" w:lastColumn="0" w:noHBand="0" w:noVBand="1"/>
        </w:tblPrEx>
        <w:trPr>
          <w:trHeight w:val="814"/>
        </w:trPr>
        <w:tc>
          <w:tcPr>
            <w:tcW w:w="3986" w:type="dxa"/>
            <w:gridSpan w:val="2"/>
          </w:tcPr>
          <w:p w:rsidR="005751FF" w:rsidRPr="00DA3CE9" w:rsidRDefault="005751FF" w:rsidP="005751FF">
            <w:pPr>
              <w:jc w:val="both"/>
              <w:rPr>
                <w:i/>
                <w:sz w:val="26"/>
                <w:szCs w:val="26"/>
              </w:rPr>
            </w:pPr>
            <w:r>
              <w:rPr>
                <w:i/>
                <w:sz w:val="26"/>
                <w:szCs w:val="26"/>
              </w:rPr>
              <w:t>Решение Арбитражного суда города Санкт-Петербурга и Ленинградской области от 22.09.2025 по делу № А56-56017/2025</w:t>
            </w:r>
          </w:p>
        </w:tc>
        <w:tc>
          <w:tcPr>
            <w:tcW w:w="6078" w:type="dxa"/>
          </w:tcPr>
          <w:p w:rsidR="005751FF" w:rsidRPr="00DA3CE9" w:rsidRDefault="005751FF" w:rsidP="005751FF">
            <w:pPr>
              <w:jc w:val="both"/>
              <w:rPr>
                <w:sz w:val="26"/>
                <w:szCs w:val="26"/>
              </w:rPr>
            </w:pPr>
            <w:r w:rsidRPr="00612DDC">
              <w:rPr>
                <w:sz w:val="26"/>
                <w:szCs w:val="26"/>
              </w:rPr>
              <w:t>Заказчику необходимо учитывать комплексный подход при оценке заявок участников закупок, проверяя</w:t>
            </w:r>
            <w:r>
              <w:rPr>
                <w:sz w:val="26"/>
                <w:szCs w:val="26"/>
              </w:rPr>
              <w:t> </w:t>
            </w:r>
            <w:r w:rsidRPr="00612DDC">
              <w:rPr>
                <w:sz w:val="26"/>
                <w:szCs w:val="26"/>
              </w:rPr>
              <w:t>соответствие</w:t>
            </w:r>
            <w:r>
              <w:rPr>
                <w:sz w:val="26"/>
                <w:szCs w:val="26"/>
              </w:rPr>
              <w:t> </w:t>
            </w:r>
            <w:r w:rsidRPr="00612DDC">
              <w:rPr>
                <w:sz w:val="26"/>
                <w:szCs w:val="26"/>
              </w:rPr>
              <w:t>представленного</w:t>
            </w:r>
            <w:r>
              <w:rPr>
                <w:sz w:val="26"/>
                <w:szCs w:val="26"/>
              </w:rPr>
              <w:t> </w:t>
            </w:r>
            <w:r w:rsidRPr="00612DDC">
              <w:rPr>
                <w:sz w:val="26"/>
                <w:szCs w:val="26"/>
              </w:rPr>
              <w:t>реестрового номера необходимым характеристикам товара</w:t>
            </w:r>
          </w:p>
        </w:tc>
      </w:tr>
      <w:tr w:rsidR="0056666D" w:rsidRPr="003D6C1E" w:rsidTr="00D01FA0">
        <w:tblPrEx>
          <w:tblLook w:val="04A0" w:firstRow="1" w:lastRow="0" w:firstColumn="1" w:lastColumn="0" w:noHBand="0" w:noVBand="1"/>
        </w:tblPrEx>
        <w:trPr>
          <w:trHeight w:val="70"/>
        </w:trPr>
        <w:tc>
          <w:tcPr>
            <w:tcW w:w="3986" w:type="dxa"/>
            <w:gridSpan w:val="2"/>
          </w:tcPr>
          <w:p w:rsidR="0056666D" w:rsidRPr="00D14BB6" w:rsidRDefault="0056666D" w:rsidP="00304E69">
            <w:pPr>
              <w:jc w:val="both"/>
              <w:rPr>
                <w:i/>
                <w:sz w:val="26"/>
                <w:szCs w:val="26"/>
              </w:rPr>
            </w:pPr>
            <w:r w:rsidRPr="00D14BB6">
              <w:rPr>
                <w:i/>
                <w:sz w:val="26"/>
                <w:szCs w:val="26"/>
              </w:rPr>
              <w:t xml:space="preserve">Решение Арбитражного суда г. Москвы от 22.09.2025 по делу </w:t>
            </w:r>
            <w:r>
              <w:rPr>
                <w:i/>
                <w:sz w:val="26"/>
                <w:szCs w:val="26"/>
              </w:rPr>
              <w:br/>
            </w:r>
            <w:r w:rsidRPr="00D14BB6">
              <w:rPr>
                <w:i/>
                <w:sz w:val="26"/>
                <w:szCs w:val="26"/>
              </w:rPr>
              <w:t>№ А40-134689/25-33-1102</w:t>
            </w:r>
          </w:p>
          <w:p w:rsidR="0056666D" w:rsidRPr="00F30D1F" w:rsidRDefault="0056666D" w:rsidP="00304E69">
            <w:pPr>
              <w:jc w:val="both"/>
              <w:rPr>
                <w:i/>
                <w:sz w:val="26"/>
                <w:szCs w:val="26"/>
              </w:rPr>
            </w:pPr>
          </w:p>
        </w:tc>
        <w:tc>
          <w:tcPr>
            <w:tcW w:w="6078" w:type="dxa"/>
          </w:tcPr>
          <w:p w:rsidR="0056666D" w:rsidRDefault="0056666D" w:rsidP="00304E69">
            <w:pPr>
              <w:jc w:val="both"/>
              <w:rPr>
                <w:sz w:val="26"/>
                <w:szCs w:val="26"/>
              </w:rPr>
            </w:pPr>
            <w:r>
              <w:rPr>
                <w:sz w:val="26"/>
                <w:szCs w:val="26"/>
                <w:shd w:val="clear" w:color="auto" w:fill="FFFFFF"/>
              </w:rPr>
              <w:t xml:space="preserve">Если объектом закупки является изготовление товара, устанавливать запрет </w:t>
            </w:r>
            <w:r>
              <w:rPr>
                <w:sz w:val="26"/>
                <w:szCs w:val="26"/>
              </w:rPr>
              <w:t>согласно Постановлен</w:t>
            </w:r>
            <w:bookmarkStart w:id="0" w:name="_GoBack"/>
            <w:bookmarkEnd w:id="0"/>
            <w:r>
              <w:rPr>
                <w:sz w:val="26"/>
                <w:szCs w:val="26"/>
              </w:rPr>
              <w:t xml:space="preserve">ию № 1875 неправомерно. </w:t>
            </w:r>
          </w:p>
          <w:p w:rsidR="0056666D" w:rsidRPr="003D6C1E" w:rsidRDefault="0056666D" w:rsidP="00304E69">
            <w:pPr>
              <w:autoSpaceDE w:val="0"/>
              <w:autoSpaceDN w:val="0"/>
              <w:adjustRightInd w:val="0"/>
              <w:jc w:val="both"/>
              <w:rPr>
                <w:sz w:val="26"/>
                <w:szCs w:val="26"/>
                <w:shd w:val="clear" w:color="auto" w:fill="FFFFFF"/>
              </w:rPr>
            </w:pPr>
          </w:p>
        </w:tc>
      </w:tr>
      <w:tr w:rsidR="0056666D" w:rsidRPr="003056CE" w:rsidTr="00D01FA0">
        <w:tblPrEx>
          <w:tblLook w:val="04A0" w:firstRow="1" w:lastRow="0" w:firstColumn="1" w:lastColumn="0" w:noHBand="0" w:noVBand="1"/>
        </w:tblPrEx>
        <w:trPr>
          <w:trHeight w:val="70"/>
        </w:trPr>
        <w:tc>
          <w:tcPr>
            <w:tcW w:w="3986" w:type="dxa"/>
            <w:gridSpan w:val="2"/>
          </w:tcPr>
          <w:p w:rsidR="0056666D" w:rsidRPr="00F30D1F" w:rsidRDefault="0056666D" w:rsidP="00304E69">
            <w:pPr>
              <w:jc w:val="both"/>
              <w:rPr>
                <w:i/>
                <w:sz w:val="26"/>
                <w:szCs w:val="26"/>
              </w:rPr>
            </w:pPr>
            <w:r>
              <w:rPr>
                <w:i/>
                <w:sz w:val="26"/>
                <w:szCs w:val="26"/>
              </w:rPr>
              <w:t>Решение управления Федеральной антимонопольной службы по Кемеровской области от 30.09.2025 по делу № 042/06/105-1524/2025</w:t>
            </w:r>
          </w:p>
        </w:tc>
        <w:tc>
          <w:tcPr>
            <w:tcW w:w="6078" w:type="dxa"/>
          </w:tcPr>
          <w:p w:rsidR="0056666D" w:rsidRPr="003056CE" w:rsidRDefault="0056666D" w:rsidP="00304E69">
            <w:pPr>
              <w:autoSpaceDE w:val="0"/>
              <w:autoSpaceDN w:val="0"/>
              <w:adjustRightInd w:val="0"/>
              <w:jc w:val="both"/>
              <w:rPr>
                <w:sz w:val="26"/>
                <w:szCs w:val="26"/>
              </w:rPr>
            </w:pPr>
            <w:r>
              <w:rPr>
                <w:sz w:val="26"/>
                <w:szCs w:val="26"/>
              </w:rPr>
              <w:t>УФАС признало правомерным отклонение заявки участника, не предоставившего ИНН участника корпоративного юридического лица, владеющего более 25% акциями (долей, паев), несмотря на то, что эта информация содержалась в выписке из ЕГРЮЛ</w:t>
            </w:r>
          </w:p>
        </w:tc>
      </w:tr>
      <w:tr w:rsidR="00D01FA0" w:rsidRPr="00E25885" w:rsidTr="00D01FA0">
        <w:tblPrEx>
          <w:tblLook w:val="04A0" w:firstRow="1" w:lastRow="0" w:firstColumn="1" w:lastColumn="0" w:noHBand="0" w:noVBand="1"/>
        </w:tblPrEx>
        <w:trPr>
          <w:trHeight w:val="1669"/>
        </w:trPr>
        <w:tc>
          <w:tcPr>
            <w:tcW w:w="3986" w:type="dxa"/>
            <w:gridSpan w:val="2"/>
          </w:tcPr>
          <w:p w:rsidR="00D01FA0" w:rsidRPr="00093D60" w:rsidRDefault="00D01FA0" w:rsidP="00DC5055">
            <w:pPr>
              <w:jc w:val="both"/>
              <w:rPr>
                <w:i/>
                <w:sz w:val="26"/>
                <w:szCs w:val="26"/>
              </w:rPr>
            </w:pPr>
            <w:r>
              <w:rPr>
                <w:i/>
                <w:sz w:val="26"/>
                <w:szCs w:val="26"/>
              </w:rPr>
              <w:t xml:space="preserve">Решение Управления Федеральной Антимонопольной службы по Тверской области </w:t>
            </w:r>
            <w:r w:rsidRPr="00093D60">
              <w:rPr>
                <w:i/>
                <w:sz w:val="26"/>
                <w:szCs w:val="26"/>
              </w:rPr>
              <w:t xml:space="preserve">от </w:t>
            </w:r>
            <w:r>
              <w:rPr>
                <w:i/>
                <w:sz w:val="26"/>
                <w:szCs w:val="26"/>
              </w:rPr>
              <w:t>03</w:t>
            </w:r>
            <w:r w:rsidRPr="00093D60">
              <w:rPr>
                <w:i/>
                <w:sz w:val="26"/>
                <w:szCs w:val="26"/>
              </w:rPr>
              <w:t>.0</w:t>
            </w:r>
            <w:r>
              <w:rPr>
                <w:i/>
                <w:sz w:val="26"/>
                <w:szCs w:val="26"/>
              </w:rPr>
              <w:t>9</w:t>
            </w:r>
            <w:r w:rsidRPr="00093D60">
              <w:rPr>
                <w:i/>
                <w:sz w:val="26"/>
                <w:szCs w:val="26"/>
              </w:rPr>
              <w:t xml:space="preserve">.2025 по делу </w:t>
            </w:r>
            <w:r>
              <w:rPr>
                <w:i/>
                <w:sz w:val="26"/>
                <w:szCs w:val="26"/>
              </w:rPr>
              <w:t>№</w:t>
            </w:r>
            <w:r w:rsidRPr="00093D60">
              <w:rPr>
                <w:i/>
                <w:sz w:val="26"/>
                <w:szCs w:val="26"/>
              </w:rPr>
              <w:t xml:space="preserve"> 0</w:t>
            </w:r>
            <w:r>
              <w:rPr>
                <w:i/>
                <w:sz w:val="26"/>
                <w:szCs w:val="26"/>
              </w:rPr>
              <w:t>69</w:t>
            </w:r>
            <w:r w:rsidRPr="00093D60">
              <w:rPr>
                <w:i/>
                <w:sz w:val="26"/>
                <w:szCs w:val="26"/>
              </w:rPr>
              <w:t>/06/</w:t>
            </w:r>
            <w:r>
              <w:rPr>
                <w:i/>
                <w:sz w:val="26"/>
                <w:szCs w:val="26"/>
              </w:rPr>
              <w:t>105</w:t>
            </w:r>
            <w:r w:rsidRPr="00093D60">
              <w:rPr>
                <w:i/>
                <w:sz w:val="26"/>
                <w:szCs w:val="26"/>
              </w:rPr>
              <w:t>-8</w:t>
            </w:r>
            <w:r>
              <w:rPr>
                <w:i/>
                <w:sz w:val="26"/>
                <w:szCs w:val="26"/>
              </w:rPr>
              <w:t>3</w:t>
            </w:r>
            <w:r w:rsidRPr="00093D60">
              <w:rPr>
                <w:i/>
                <w:sz w:val="26"/>
                <w:szCs w:val="26"/>
              </w:rPr>
              <w:t>4/2025</w:t>
            </w:r>
          </w:p>
          <w:p w:rsidR="00D01FA0" w:rsidRDefault="00D01FA0" w:rsidP="00DC5055">
            <w:pPr>
              <w:jc w:val="both"/>
              <w:rPr>
                <w:i/>
                <w:sz w:val="26"/>
                <w:szCs w:val="26"/>
              </w:rPr>
            </w:pPr>
          </w:p>
          <w:p w:rsidR="00D01FA0" w:rsidRDefault="00D01FA0" w:rsidP="00DC5055">
            <w:pPr>
              <w:jc w:val="both"/>
              <w:rPr>
                <w:i/>
                <w:sz w:val="26"/>
                <w:szCs w:val="26"/>
              </w:rPr>
            </w:pPr>
          </w:p>
          <w:p w:rsidR="00D01FA0" w:rsidRDefault="00D01FA0" w:rsidP="00DC5055">
            <w:pPr>
              <w:jc w:val="both"/>
              <w:rPr>
                <w:i/>
                <w:sz w:val="26"/>
                <w:szCs w:val="26"/>
              </w:rPr>
            </w:pPr>
          </w:p>
          <w:p w:rsidR="00D01FA0" w:rsidRDefault="00D01FA0" w:rsidP="00DC5055">
            <w:pPr>
              <w:jc w:val="both"/>
              <w:rPr>
                <w:i/>
                <w:sz w:val="26"/>
                <w:szCs w:val="26"/>
              </w:rPr>
            </w:pPr>
          </w:p>
        </w:tc>
        <w:tc>
          <w:tcPr>
            <w:tcW w:w="6078" w:type="dxa"/>
          </w:tcPr>
          <w:p w:rsidR="00D01FA0" w:rsidRPr="00E25885" w:rsidRDefault="00D01FA0" w:rsidP="00DC5055">
            <w:pPr>
              <w:autoSpaceDE w:val="0"/>
              <w:autoSpaceDN w:val="0"/>
              <w:adjustRightInd w:val="0"/>
              <w:jc w:val="both"/>
              <w:rPr>
                <w:sz w:val="26"/>
                <w:szCs w:val="26"/>
              </w:rPr>
            </w:pPr>
            <w:r>
              <w:rPr>
                <w:sz w:val="26"/>
                <w:szCs w:val="26"/>
              </w:rPr>
              <w:t>О</w:t>
            </w:r>
            <w:r w:rsidRPr="005E3BE3">
              <w:rPr>
                <w:sz w:val="26"/>
                <w:szCs w:val="26"/>
              </w:rPr>
              <w:t>тсутствие</w:t>
            </w:r>
            <w:r>
              <w:rPr>
                <w:sz w:val="26"/>
                <w:szCs w:val="26"/>
              </w:rPr>
              <w:t xml:space="preserve"> информации о товарном знаке в Государственном реестре товарных знаков при ее указании в заявке является основанием для отклонения заявки в связи с предоставлением недостоверной информации</w:t>
            </w:r>
          </w:p>
        </w:tc>
      </w:tr>
    </w:tbl>
    <w:p w:rsidR="00A222B7" w:rsidRDefault="00A222B7" w:rsidP="00A222B7">
      <w:pPr>
        <w:spacing w:after="0" w:line="240" w:lineRule="auto"/>
        <w:jc w:val="both"/>
      </w:pPr>
    </w:p>
    <w:p w:rsidR="00F061FA" w:rsidRDefault="00D723DD" w:rsidP="00E32DC2">
      <w:pPr>
        <w:spacing w:after="0" w:line="240" w:lineRule="auto"/>
        <w:ind w:firstLine="709"/>
        <w:jc w:val="both"/>
        <w:rPr>
          <w:i/>
          <w:sz w:val="26"/>
          <w:szCs w:val="26"/>
        </w:rPr>
      </w:pPr>
      <w:r w:rsidRPr="00D723DD">
        <w:rPr>
          <w:i/>
          <w:sz w:val="26"/>
          <w:szCs w:val="26"/>
        </w:rPr>
        <w:t>Письмо Минфина России от 03.10.2025 № 24-06-09/95869 «О рассмотрении обращения»</w:t>
      </w:r>
    </w:p>
    <w:p w:rsidR="00D723DD" w:rsidRPr="00D723DD" w:rsidRDefault="00D723DD" w:rsidP="00E32DC2">
      <w:pPr>
        <w:spacing w:after="0" w:line="240" w:lineRule="auto"/>
        <w:ind w:firstLine="709"/>
        <w:jc w:val="both"/>
        <w:rPr>
          <w:sz w:val="26"/>
          <w:szCs w:val="26"/>
        </w:rPr>
      </w:pPr>
      <w:r w:rsidRPr="00D723DD">
        <w:rPr>
          <w:sz w:val="26"/>
          <w:szCs w:val="26"/>
        </w:rPr>
        <w:t>Минфин России разъяснил сроки направления претензии поставщику (подрядчику, исполнителю).</w:t>
      </w:r>
    </w:p>
    <w:p w:rsidR="00D723DD" w:rsidRPr="00D723DD" w:rsidRDefault="00D723DD" w:rsidP="00D723DD">
      <w:pPr>
        <w:spacing w:after="0" w:line="240" w:lineRule="auto"/>
        <w:ind w:firstLine="709"/>
        <w:jc w:val="both"/>
        <w:rPr>
          <w:sz w:val="26"/>
          <w:szCs w:val="26"/>
        </w:rPr>
      </w:pPr>
      <w:r w:rsidRPr="00D723DD">
        <w:rPr>
          <w:sz w:val="26"/>
          <w:szCs w:val="26"/>
        </w:rPr>
        <w:t xml:space="preserve">Согласно пункту 10 части 2 статьи 103 Закона № 44-ФЗ в реестр контрактов, заключенных заказчиками (далее - реестр контрактов), включается информация об исполнении контракта (отдельного этапа исполнения контракта), в том числе информация о </w:t>
      </w:r>
      <w:r w:rsidRPr="00D723DD">
        <w:rPr>
          <w:sz w:val="26"/>
          <w:szCs w:val="26"/>
        </w:rPr>
        <w:lastRenderedPageBreak/>
        <w:t>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D723DD" w:rsidRPr="00D723DD" w:rsidRDefault="00D723DD" w:rsidP="00D723DD">
      <w:pPr>
        <w:spacing w:after="0" w:line="240" w:lineRule="auto"/>
        <w:ind w:firstLine="709"/>
        <w:jc w:val="both"/>
        <w:rPr>
          <w:sz w:val="26"/>
          <w:szCs w:val="26"/>
        </w:rPr>
      </w:pPr>
      <w:r w:rsidRPr="00D723DD">
        <w:rPr>
          <w:sz w:val="26"/>
          <w:szCs w:val="26"/>
        </w:rPr>
        <w:t>Информация, указанная в пункте 10 части 2 статьи 103 Закона № 44-ФЗ, не позднее 5 рабочих дней со дня, следующего за днем исполнения контракта (отдельного этапа исполнения контракта), направляется в Казначейство России в порядке, установленном Правилами ведения реестра контрактов, заключенных заказчиками, утвержденными постановлением Правительства Российской Федерации от 27.01.2022 № 60 (далее - Правила) (часть 3 статьи 103 Закона № 44-ФЗ).</w:t>
      </w:r>
    </w:p>
    <w:p w:rsidR="00D723DD" w:rsidRPr="00D723DD" w:rsidRDefault="00D723DD" w:rsidP="00D723DD">
      <w:pPr>
        <w:spacing w:after="0" w:line="240" w:lineRule="auto"/>
        <w:ind w:firstLine="709"/>
        <w:jc w:val="both"/>
        <w:rPr>
          <w:sz w:val="26"/>
          <w:szCs w:val="26"/>
        </w:rPr>
      </w:pPr>
      <w:r w:rsidRPr="00D723DD">
        <w:rPr>
          <w:sz w:val="26"/>
          <w:szCs w:val="26"/>
        </w:rPr>
        <w:t xml:space="preserve">Так, в соответствии с подпунктом </w:t>
      </w:r>
      <w:r w:rsidR="00FB6C9B">
        <w:rPr>
          <w:sz w:val="26"/>
          <w:szCs w:val="26"/>
        </w:rPr>
        <w:t>«</w:t>
      </w:r>
      <w:r w:rsidRPr="00D723DD">
        <w:rPr>
          <w:sz w:val="26"/>
          <w:szCs w:val="26"/>
        </w:rPr>
        <w:t>е</w:t>
      </w:r>
      <w:r w:rsidR="00FB6C9B">
        <w:rPr>
          <w:sz w:val="26"/>
          <w:szCs w:val="26"/>
        </w:rPr>
        <w:t>»</w:t>
      </w:r>
      <w:r w:rsidRPr="00D723DD">
        <w:rPr>
          <w:sz w:val="26"/>
          <w:szCs w:val="26"/>
        </w:rPr>
        <w:t xml:space="preserve"> пункта 11 Правил в реестр контрактов в соответствии с Правилами подлежат включению информация и документы о применении мер ответственности и совершении иных действий в случае нарушения поставщиком (подрядчиком, исполнителем) или заказчиком условий контракта, в том числе требование заказчика об уплате неустойки (штрафа, пени), направленное поставщику (подрядчику, исполнителю), а также размер начисленной неустойки (штрафа, пени).</w:t>
      </w:r>
    </w:p>
    <w:p w:rsidR="00D723DD" w:rsidRDefault="00D723DD" w:rsidP="00D723DD">
      <w:pPr>
        <w:spacing w:after="0" w:line="240" w:lineRule="auto"/>
        <w:ind w:firstLine="709"/>
        <w:jc w:val="both"/>
        <w:rPr>
          <w:sz w:val="26"/>
          <w:szCs w:val="26"/>
        </w:rPr>
      </w:pPr>
      <w:r w:rsidRPr="00D723DD">
        <w:rPr>
          <w:sz w:val="26"/>
          <w:szCs w:val="26"/>
        </w:rPr>
        <w:t>Учитывая, что положениями Закона № 44-ФЗ и Правил регламентированы сроки направления заказчиком в Казначейство России информации об исполнении контракта, в том числе о начислении неустоек (штрафов, пеней), в целях включения в реестр контрактов, направление поставщику (подрядчику, исполнителю) требования об уплате неустойки (штрафа, пени) должно осуществляться заказчиком с учетом необходимости соблюдения соответствующих сроков.</w:t>
      </w:r>
    </w:p>
    <w:p w:rsidR="00FB6C9B" w:rsidRDefault="00FB6C9B" w:rsidP="00D723DD">
      <w:pPr>
        <w:spacing w:after="0" w:line="240" w:lineRule="auto"/>
        <w:ind w:firstLine="709"/>
        <w:jc w:val="both"/>
        <w:rPr>
          <w:sz w:val="26"/>
          <w:szCs w:val="26"/>
        </w:rPr>
      </w:pPr>
    </w:p>
    <w:p w:rsidR="00FB6C9B" w:rsidRPr="00DA0D3C" w:rsidRDefault="00FB6C9B" w:rsidP="00D723DD">
      <w:pPr>
        <w:spacing w:after="0" w:line="240" w:lineRule="auto"/>
        <w:ind w:firstLine="709"/>
        <w:jc w:val="both"/>
        <w:rPr>
          <w:i/>
          <w:sz w:val="26"/>
          <w:szCs w:val="26"/>
        </w:rPr>
      </w:pPr>
      <w:r w:rsidRPr="00DA0D3C">
        <w:rPr>
          <w:i/>
          <w:sz w:val="26"/>
          <w:szCs w:val="26"/>
        </w:rPr>
        <w:t>Письмо Минфина России от 06.10.2025 № 24-06-09/96576 «О рассмотрении обращения»</w:t>
      </w:r>
    </w:p>
    <w:p w:rsidR="00DA0D3C" w:rsidRDefault="00DA0D3C" w:rsidP="00D723DD">
      <w:pPr>
        <w:spacing w:after="0" w:line="240" w:lineRule="auto"/>
        <w:ind w:firstLine="709"/>
        <w:jc w:val="both"/>
        <w:rPr>
          <w:sz w:val="26"/>
          <w:szCs w:val="26"/>
        </w:rPr>
      </w:pPr>
      <w:r w:rsidRPr="00DA0D3C">
        <w:rPr>
          <w:sz w:val="26"/>
          <w:szCs w:val="26"/>
        </w:rPr>
        <w:t>Минфин России разъяснил вопросы описания объекта закупки в соответствии с требованиями Постановления № 1875</w:t>
      </w:r>
      <w:r>
        <w:rPr>
          <w:sz w:val="26"/>
          <w:szCs w:val="26"/>
        </w:rPr>
        <w:t>.</w:t>
      </w:r>
    </w:p>
    <w:p w:rsidR="00DA0D3C" w:rsidRPr="00DA0D3C" w:rsidRDefault="00DA0D3C" w:rsidP="00DA0D3C">
      <w:pPr>
        <w:spacing w:after="0" w:line="240" w:lineRule="auto"/>
        <w:ind w:firstLine="709"/>
        <w:jc w:val="both"/>
        <w:rPr>
          <w:sz w:val="26"/>
          <w:szCs w:val="26"/>
        </w:rPr>
      </w:pPr>
      <w:r w:rsidRPr="00DA0D3C">
        <w:rPr>
          <w:sz w:val="26"/>
          <w:szCs w:val="26"/>
        </w:rPr>
        <w:t xml:space="preserve">Подпунктом </w:t>
      </w:r>
      <w:r>
        <w:rPr>
          <w:sz w:val="26"/>
          <w:szCs w:val="26"/>
        </w:rPr>
        <w:t>«</w:t>
      </w:r>
      <w:r w:rsidRPr="00DA0D3C">
        <w:rPr>
          <w:sz w:val="26"/>
          <w:szCs w:val="26"/>
        </w:rPr>
        <w:t>а</w:t>
      </w:r>
      <w:r>
        <w:rPr>
          <w:sz w:val="26"/>
          <w:szCs w:val="26"/>
        </w:rPr>
        <w:t>»</w:t>
      </w:r>
      <w:r w:rsidRPr="00DA0D3C">
        <w:rPr>
          <w:sz w:val="26"/>
          <w:szCs w:val="26"/>
        </w:rPr>
        <w:t xml:space="preserve"> пункта 7 Постановления № 1875 установлены особенности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w:t>
      </w:r>
    </w:p>
    <w:p w:rsidR="00DA0D3C" w:rsidRPr="00DA0D3C" w:rsidRDefault="00DA0D3C" w:rsidP="00DA0D3C">
      <w:pPr>
        <w:spacing w:after="0" w:line="240" w:lineRule="auto"/>
        <w:ind w:firstLine="709"/>
        <w:jc w:val="both"/>
        <w:rPr>
          <w:sz w:val="26"/>
          <w:szCs w:val="26"/>
        </w:rPr>
      </w:pPr>
      <w:r w:rsidRPr="00DA0D3C">
        <w:rPr>
          <w:sz w:val="26"/>
          <w:szCs w:val="26"/>
        </w:rPr>
        <w:t>Закупка товара в соответствии с частью 12 статьи 93 Закона № 44-ФЗ осуществляется в порядке, установленном данной частью.</w:t>
      </w:r>
    </w:p>
    <w:p w:rsidR="00DA0D3C" w:rsidRPr="00DA0D3C" w:rsidRDefault="00DA0D3C" w:rsidP="00DA0D3C">
      <w:pPr>
        <w:spacing w:after="0" w:line="240" w:lineRule="auto"/>
        <w:ind w:firstLine="709"/>
        <w:jc w:val="both"/>
        <w:rPr>
          <w:sz w:val="26"/>
          <w:szCs w:val="26"/>
        </w:rPr>
      </w:pPr>
      <w:r w:rsidRPr="00DA0D3C">
        <w:rPr>
          <w:sz w:val="26"/>
          <w:szCs w:val="26"/>
        </w:rPr>
        <w:t>Так, пунктами 3 и 4 части 12 статьи 93 Закона № 44-ФЗ установлен закрытый перечень информации и документов, включаемых в извещение об осуществлении такой закупки. При этом включение в указанное извещение электронного документа с описанием объекта закупки в соответствии со статьей 33 Закона № 44-ФЗ не предусмотрено.</w:t>
      </w:r>
    </w:p>
    <w:p w:rsidR="00DA0D3C" w:rsidRDefault="00DA0D3C" w:rsidP="00DA0D3C">
      <w:pPr>
        <w:spacing w:after="0" w:line="240" w:lineRule="auto"/>
        <w:ind w:firstLine="709"/>
        <w:jc w:val="both"/>
        <w:rPr>
          <w:sz w:val="26"/>
          <w:szCs w:val="26"/>
        </w:rPr>
      </w:pPr>
      <w:r w:rsidRPr="00DA0D3C">
        <w:rPr>
          <w:sz w:val="26"/>
          <w:szCs w:val="26"/>
        </w:rPr>
        <w:t xml:space="preserve">Учитывая, что при осуществлении закупок в соответствии с частью 12 статьи 93 Закона № 44-ФЗ формирование описания объекта закупки не предусмотрено, положения подпункта </w:t>
      </w:r>
      <w:r>
        <w:rPr>
          <w:sz w:val="26"/>
          <w:szCs w:val="26"/>
        </w:rPr>
        <w:t>«</w:t>
      </w:r>
      <w:r w:rsidRPr="00DA0D3C">
        <w:rPr>
          <w:sz w:val="26"/>
          <w:szCs w:val="26"/>
        </w:rPr>
        <w:t>а</w:t>
      </w:r>
      <w:r>
        <w:rPr>
          <w:sz w:val="26"/>
          <w:szCs w:val="26"/>
        </w:rPr>
        <w:t>»</w:t>
      </w:r>
      <w:r w:rsidRPr="00DA0D3C">
        <w:rPr>
          <w:sz w:val="26"/>
          <w:szCs w:val="26"/>
        </w:rPr>
        <w:t xml:space="preserve"> пункта 7 Постановления № 1875, устанавливающие особенности такого описания, не применяются.</w:t>
      </w:r>
    </w:p>
    <w:p w:rsidR="00DA0D3C" w:rsidRDefault="00DA0D3C" w:rsidP="00DA0D3C">
      <w:pPr>
        <w:spacing w:after="0" w:line="240" w:lineRule="auto"/>
        <w:ind w:firstLine="709"/>
        <w:jc w:val="both"/>
        <w:rPr>
          <w:sz w:val="26"/>
          <w:szCs w:val="26"/>
        </w:rPr>
      </w:pPr>
    </w:p>
    <w:p w:rsidR="005E0FB9" w:rsidRDefault="005E0FB9" w:rsidP="00DA0D3C">
      <w:pPr>
        <w:spacing w:after="0" w:line="240" w:lineRule="auto"/>
        <w:ind w:firstLine="709"/>
        <w:jc w:val="both"/>
        <w:rPr>
          <w:i/>
          <w:sz w:val="26"/>
          <w:szCs w:val="26"/>
        </w:rPr>
      </w:pPr>
      <w:r w:rsidRPr="005E0FB9">
        <w:rPr>
          <w:i/>
          <w:sz w:val="26"/>
          <w:szCs w:val="26"/>
        </w:rPr>
        <w:t>Письмо Минфина России от 14.10.2025 № 24-06-06/99307 «О рассмотрении обращения»</w:t>
      </w:r>
    </w:p>
    <w:p w:rsidR="005E0FB9" w:rsidRDefault="005E0FB9" w:rsidP="00DA0D3C">
      <w:pPr>
        <w:spacing w:after="0" w:line="240" w:lineRule="auto"/>
        <w:ind w:firstLine="709"/>
        <w:jc w:val="both"/>
        <w:rPr>
          <w:sz w:val="26"/>
          <w:szCs w:val="26"/>
        </w:rPr>
      </w:pPr>
      <w:r w:rsidRPr="005E0FB9">
        <w:rPr>
          <w:sz w:val="26"/>
          <w:szCs w:val="26"/>
        </w:rPr>
        <w:t>Минфин России разъяснил порядок обоснования НМЦК по Постановлению № 1875.</w:t>
      </w:r>
    </w:p>
    <w:p w:rsidR="00EB5E78" w:rsidRDefault="00EB5E78" w:rsidP="00DA0D3C">
      <w:pPr>
        <w:spacing w:after="0" w:line="240" w:lineRule="auto"/>
        <w:ind w:firstLine="709"/>
        <w:jc w:val="both"/>
        <w:rPr>
          <w:sz w:val="26"/>
          <w:szCs w:val="26"/>
        </w:rPr>
      </w:pPr>
      <w:r w:rsidRPr="00EB5E78">
        <w:rPr>
          <w:sz w:val="26"/>
          <w:szCs w:val="26"/>
        </w:rPr>
        <w:t>Частью 24 статьи 22 Закон</w:t>
      </w:r>
      <w:r>
        <w:rPr>
          <w:sz w:val="26"/>
          <w:szCs w:val="26"/>
        </w:rPr>
        <w:t>а</w:t>
      </w:r>
      <w:r w:rsidRPr="00EB5E78">
        <w:rPr>
          <w:sz w:val="26"/>
          <w:szCs w:val="26"/>
        </w:rPr>
        <w:t xml:space="preserve"> № 44-ФЗ установлено, что в случае, если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w:t>
      </w:r>
      <w:r w:rsidRPr="00EB5E78">
        <w:rPr>
          <w:sz w:val="26"/>
          <w:szCs w:val="26"/>
        </w:rPr>
        <w:lastRenderedPageBreak/>
        <w:t xml:space="preserve">начальную сумму цен указанных единиц, максимальное значение цены контракта, а также обосновывает в соответствии с указанной статьей цену единицы товара, работы, услуги. </w:t>
      </w:r>
      <w:r>
        <w:rPr>
          <w:sz w:val="26"/>
          <w:szCs w:val="26"/>
        </w:rPr>
        <w:t>доб.</w:t>
      </w:r>
    </w:p>
    <w:p w:rsidR="00EB5E78" w:rsidRDefault="00EB5E78" w:rsidP="00DA0D3C">
      <w:pPr>
        <w:spacing w:after="0" w:line="240" w:lineRule="auto"/>
        <w:ind w:firstLine="709"/>
        <w:jc w:val="both"/>
        <w:rPr>
          <w:sz w:val="26"/>
          <w:szCs w:val="26"/>
        </w:rPr>
      </w:pPr>
      <w:r w:rsidRPr="00EB5E78">
        <w:rPr>
          <w:sz w:val="26"/>
          <w:szCs w:val="26"/>
        </w:rPr>
        <w:t xml:space="preserve">При этом положения Закона № 44-ФЗ,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 44-ФЗ не установлено иное. </w:t>
      </w:r>
    </w:p>
    <w:p w:rsidR="00EB5E78" w:rsidRDefault="00EB5E78" w:rsidP="00DA0D3C">
      <w:pPr>
        <w:spacing w:after="0" w:line="240" w:lineRule="auto"/>
        <w:ind w:firstLine="709"/>
        <w:jc w:val="both"/>
        <w:rPr>
          <w:sz w:val="26"/>
          <w:szCs w:val="26"/>
        </w:rPr>
      </w:pPr>
      <w:r w:rsidRPr="00EB5E78">
        <w:rPr>
          <w:sz w:val="26"/>
          <w:szCs w:val="26"/>
        </w:rPr>
        <w:t xml:space="preserve">Согласно части 25 статьи 22 Закона № 44-ФЗ для целей осуществления закупок товаров, работ, услуг, в отношении которых установлены предусмотренные пунктом 1 части 2 статьи 14 Закона № 44-ФЗ запрет, ограничение или преимущество, Постановлением </w:t>
      </w:r>
      <w:r>
        <w:rPr>
          <w:sz w:val="26"/>
          <w:szCs w:val="26"/>
        </w:rPr>
        <w:br/>
      </w:r>
      <w:r w:rsidRPr="00EB5E78">
        <w:rPr>
          <w:sz w:val="26"/>
          <w:szCs w:val="26"/>
        </w:rPr>
        <w:t xml:space="preserve">№ 1875 установлены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 (далее - особенности определения цен). </w:t>
      </w:r>
    </w:p>
    <w:p w:rsidR="00EB5E78" w:rsidRDefault="00EB5E78" w:rsidP="00DA0D3C">
      <w:pPr>
        <w:spacing w:after="0" w:line="240" w:lineRule="auto"/>
        <w:ind w:firstLine="709"/>
        <w:jc w:val="both"/>
        <w:rPr>
          <w:sz w:val="26"/>
          <w:szCs w:val="26"/>
        </w:rPr>
      </w:pPr>
      <w:r w:rsidRPr="00EB5E78">
        <w:rPr>
          <w:sz w:val="26"/>
          <w:szCs w:val="26"/>
        </w:rPr>
        <w:t xml:space="preserve">Вместе с тем особенности определения цен не применяются в случае, если осуществляется закупка товаров, при которой начальная (максимальная) цена контракта, цена контракта, заключаемого с единственным поставщиком (подрядчиком, исполнителем), не превышает 1 млн. рублей и при этом ни одна из использованных при определении таких цен цена единицы товара не превышает 5 тыс. рублей (абзац пятый подпункта </w:t>
      </w:r>
      <w:r>
        <w:rPr>
          <w:sz w:val="26"/>
          <w:szCs w:val="26"/>
        </w:rPr>
        <w:t>«</w:t>
      </w:r>
      <w:r w:rsidRPr="00EB5E78">
        <w:rPr>
          <w:sz w:val="26"/>
          <w:szCs w:val="26"/>
        </w:rPr>
        <w:t>г</w:t>
      </w:r>
      <w:r>
        <w:rPr>
          <w:sz w:val="26"/>
          <w:szCs w:val="26"/>
        </w:rPr>
        <w:t>»</w:t>
      </w:r>
      <w:r w:rsidRPr="00EB5E78">
        <w:rPr>
          <w:sz w:val="26"/>
          <w:szCs w:val="26"/>
        </w:rPr>
        <w:t xml:space="preserve"> пункта 7 Постановления № 1875). </w:t>
      </w:r>
    </w:p>
    <w:p w:rsidR="005E0FB9" w:rsidRDefault="00EB5E78" w:rsidP="00DA0D3C">
      <w:pPr>
        <w:spacing w:after="0" w:line="240" w:lineRule="auto"/>
        <w:ind w:firstLine="709"/>
        <w:jc w:val="both"/>
        <w:rPr>
          <w:sz w:val="26"/>
          <w:szCs w:val="26"/>
        </w:rPr>
      </w:pPr>
      <w:r w:rsidRPr="00EB5E78">
        <w:rPr>
          <w:sz w:val="26"/>
          <w:szCs w:val="26"/>
        </w:rPr>
        <w:t xml:space="preserve">Учитывая, что предусмотренные Постановлением № 1875 особенности определения цен установлены в реализацию положений статьи 22 Закона № 44-ФЗ, положения абзаца пятого подпункта </w:t>
      </w:r>
      <w:r>
        <w:rPr>
          <w:sz w:val="26"/>
          <w:szCs w:val="26"/>
        </w:rPr>
        <w:t>«</w:t>
      </w:r>
      <w:r w:rsidRPr="00EB5E78">
        <w:rPr>
          <w:sz w:val="26"/>
          <w:szCs w:val="26"/>
        </w:rPr>
        <w:t>г</w:t>
      </w:r>
      <w:r>
        <w:rPr>
          <w:sz w:val="26"/>
          <w:szCs w:val="26"/>
        </w:rPr>
        <w:t>»</w:t>
      </w:r>
      <w:r w:rsidRPr="00EB5E78">
        <w:rPr>
          <w:sz w:val="26"/>
          <w:szCs w:val="26"/>
        </w:rPr>
        <w:t xml:space="preserve"> пункта 7 Постановления № 1875, касающиеся начальной (максимальной) цены контракта, цены единицы товара, применяются при осуществлении закупок с неопределенным объемом в отношении максимального значения цены контракта, начальной цены единицы товара соответственно.</w:t>
      </w:r>
    </w:p>
    <w:p w:rsidR="00EB5E78" w:rsidRPr="00EB5E78" w:rsidRDefault="00EB5E78" w:rsidP="00DA0D3C">
      <w:pPr>
        <w:spacing w:after="0" w:line="240" w:lineRule="auto"/>
        <w:ind w:firstLine="709"/>
        <w:jc w:val="both"/>
        <w:rPr>
          <w:i/>
          <w:sz w:val="26"/>
          <w:szCs w:val="26"/>
        </w:rPr>
      </w:pPr>
    </w:p>
    <w:p w:rsidR="00EB5E78" w:rsidRDefault="00EB5E78" w:rsidP="00DA0D3C">
      <w:pPr>
        <w:spacing w:after="0" w:line="240" w:lineRule="auto"/>
        <w:ind w:firstLine="709"/>
        <w:jc w:val="both"/>
        <w:rPr>
          <w:sz w:val="26"/>
          <w:szCs w:val="26"/>
        </w:rPr>
      </w:pPr>
      <w:r w:rsidRPr="00EB5E78">
        <w:rPr>
          <w:i/>
          <w:sz w:val="26"/>
          <w:szCs w:val="26"/>
        </w:rPr>
        <w:t>Письмо ФАС России от 08.10.2025 № ГР/94541-ПР/25 «О разъяснении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sz w:val="26"/>
          <w:szCs w:val="26"/>
        </w:rPr>
        <w:t>»</w:t>
      </w:r>
    </w:p>
    <w:p w:rsidR="00EB5E78" w:rsidRDefault="00EB5E78" w:rsidP="00DA0D3C">
      <w:pPr>
        <w:spacing w:after="0" w:line="240" w:lineRule="auto"/>
        <w:ind w:firstLine="709"/>
        <w:jc w:val="both"/>
        <w:rPr>
          <w:sz w:val="26"/>
          <w:szCs w:val="26"/>
        </w:rPr>
      </w:pPr>
      <w:r w:rsidRPr="00EB5E78">
        <w:rPr>
          <w:sz w:val="26"/>
          <w:szCs w:val="26"/>
        </w:rPr>
        <w:t>ФАС России разъяснила вопросы подтверждения соответствия участника закупки дополнительным требованиям, установленным позицией 33 Постановления № 2571</w:t>
      </w:r>
      <w:r>
        <w:rPr>
          <w:sz w:val="26"/>
          <w:szCs w:val="26"/>
        </w:rPr>
        <w:t>.</w:t>
      </w:r>
    </w:p>
    <w:p w:rsidR="00EB5E78" w:rsidRPr="00EB5E78" w:rsidRDefault="00EB5E78" w:rsidP="00EB5E78">
      <w:pPr>
        <w:spacing w:after="0" w:line="240" w:lineRule="auto"/>
        <w:ind w:firstLine="709"/>
        <w:jc w:val="both"/>
        <w:rPr>
          <w:sz w:val="26"/>
          <w:szCs w:val="26"/>
        </w:rPr>
      </w:pPr>
      <w:r w:rsidRPr="00EB5E78">
        <w:rPr>
          <w:sz w:val="26"/>
          <w:szCs w:val="26"/>
        </w:rPr>
        <w:t xml:space="preserve">Подпунктом </w:t>
      </w:r>
      <w:r>
        <w:rPr>
          <w:sz w:val="26"/>
          <w:szCs w:val="26"/>
        </w:rPr>
        <w:t>«</w:t>
      </w:r>
      <w:r w:rsidRPr="00EB5E78">
        <w:rPr>
          <w:sz w:val="26"/>
          <w:szCs w:val="26"/>
        </w:rPr>
        <w:t>а</w:t>
      </w:r>
      <w:r>
        <w:rPr>
          <w:sz w:val="26"/>
          <w:szCs w:val="26"/>
        </w:rPr>
        <w:t>»</w:t>
      </w:r>
      <w:r w:rsidRPr="00EB5E78">
        <w:rPr>
          <w:sz w:val="26"/>
          <w:szCs w:val="26"/>
        </w:rPr>
        <w:t xml:space="preserve"> пункта 1 Постановлени</w:t>
      </w:r>
      <w:r>
        <w:rPr>
          <w:sz w:val="26"/>
          <w:szCs w:val="26"/>
        </w:rPr>
        <w:t>я</w:t>
      </w:r>
      <w:r w:rsidRPr="00EB5E78">
        <w:rPr>
          <w:sz w:val="26"/>
          <w:szCs w:val="26"/>
        </w:rPr>
        <w:t xml:space="preserve"> </w:t>
      </w:r>
      <w:r>
        <w:rPr>
          <w:sz w:val="26"/>
          <w:szCs w:val="26"/>
        </w:rPr>
        <w:t>№</w:t>
      </w:r>
      <w:r w:rsidRPr="00EB5E78">
        <w:rPr>
          <w:sz w:val="26"/>
          <w:szCs w:val="26"/>
        </w:rPr>
        <w:t xml:space="preserve"> 2571 установлено,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w:t>
      </w:r>
      <w:proofErr w:type="gramStart"/>
      <w:r w:rsidRPr="00EB5E78">
        <w:rPr>
          <w:sz w:val="26"/>
          <w:szCs w:val="26"/>
        </w:rPr>
        <w:t>приложению</w:t>
      </w:r>
      <w:proofErr w:type="gramEnd"/>
      <w:r w:rsidRPr="00EB5E78">
        <w:rPr>
          <w:sz w:val="26"/>
          <w:szCs w:val="26"/>
        </w:rPr>
        <w:t xml:space="preserve"> к Постановлению </w:t>
      </w:r>
      <w:r>
        <w:rPr>
          <w:sz w:val="26"/>
          <w:szCs w:val="26"/>
        </w:rPr>
        <w:t>№</w:t>
      </w:r>
      <w:r w:rsidRPr="00EB5E78">
        <w:rPr>
          <w:sz w:val="26"/>
          <w:szCs w:val="26"/>
        </w:rPr>
        <w:t xml:space="preserve"> 2571. Соответствие участников закупки указанным дополнительным требованиям подтверждается информацией и документами, предусмотренными приложением к Постановлению </w:t>
      </w:r>
      <w:r>
        <w:rPr>
          <w:sz w:val="26"/>
          <w:szCs w:val="26"/>
        </w:rPr>
        <w:t xml:space="preserve">№ </w:t>
      </w:r>
      <w:r w:rsidRPr="00EB5E78">
        <w:rPr>
          <w:sz w:val="26"/>
          <w:szCs w:val="26"/>
        </w:rPr>
        <w:t>2571.</w:t>
      </w:r>
    </w:p>
    <w:p w:rsidR="00EB5E78" w:rsidRPr="00EB5E78" w:rsidRDefault="00EB5E78" w:rsidP="00EB5E78">
      <w:pPr>
        <w:spacing w:after="0" w:line="240" w:lineRule="auto"/>
        <w:ind w:firstLine="709"/>
        <w:jc w:val="both"/>
        <w:rPr>
          <w:sz w:val="26"/>
          <w:szCs w:val="26"/>
        </w:rPr>
      </w:pPr>
      <w:r w:rsidRPr="00EB5E78">
        <w:rPr>
          <w:sz w:val="26"/>
          <w:szCs w:val="26"/>
        </w:rPr>
        <w:t xml:space="preserve">Позицией 33 приложения к Постановлению </w:t>
      </w:r>
      <w:r>
        <w:rPr>
          <w:sz w:val="26"/>
          <w:szCs w:val="26"/>
        </w:rPr>
        <w:t>№</w:t>
      </w:r>
      <w:r w:rsidRPr="00EB5E78">
        <w:rPr>
          <w:sz w:val="26"/>
          <w:szCs w:val="26"/>
        </w:rPr>
        <w:t xml:space="preserve"> 2571 установлены дополнительные требования к участникам закупки при осуществлении закупки услуг общественного питания и (или) поставки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p>
    <w:p w:rsidR="00EB5E78" w:rsidRPr="00EB5E78" w:rsidRDefault="00EB5E78" w:rsidP="00EB5E78">
      <w:pPr>
        <w:spacing w:after="0" w:line="240" w:lineRule="auto"/>
        <w:ind w:firstLine="709"/>
        <w:jc w:val="both"/>
        <w:rPr>
          <w:sz w:val="26"/>
          <w:szCs w:val="26"/>
        </w:rPr>
      </w:pPr>
      <w:r w:rsidRPr="00EB5E78">
        <w:rPr>
          <w:sz w:val="26"/>
          <w:szCs w:val="26"/>
        </w:rPr>
        <w:t xml:space="preserve">В качестве дополнительного требования в отношении указанной позиции в графе </w:t>
      </w:r>
      <w:r>
        <w:rPr>
          <w:sz w:val="26"/>
          <w:szCs w:val="26"/>
        </w:rPr>
        <w:t>«</w:t>
      </w:r>
      <w:r w:rsidRPr="00EB5E78">
        <w:rPr>
          <w:sz w:val="26"/>
          <w:szCs w:val="26"/>
        </w:rPr>
        <w:t>Дополнительные требования к участникам закупки</w:t>
      </w:r>
      <w:r>
        <w:rPr>
          <w:sz w:val="26"/>
          <w:szCs w:val="26"/>
        </w:rPr>
        <w:t>»</w:t>
      </w:r>
      <w:r w:rsidRPr="00EB5E78">
        <w:rPr>
          <w:sz w:val="26"/>
          <w:szCs w:val="26"/>
        </w:rPr>
        <w:t xml:space="preserve"> установлено в том числе </w:t>
      </w:r>
      <w:proofErr w:type="spellStart"/>
      <w:r w:rsidRPr="00EB5E78">
        <w:rPr>
          <w:sz w:val="26"/>
          <w:szCs w:val="26"/>
        </w:rPr>
        <w:lastRenderedPageBreak/>
        <w:t>непривлечение</w:t>
      </w:r>
      <w:proofErr w:type="spellEnd"/>
      <w:r w:rsidRPr="00EB5E78">
        <w:rPr>
          <w:sz w:val="26"/>
          <w:szCs w:val="26"/>
        </w:rPr>
        <w:t xml:space="preserve"> участника закупки, являющегося физическим лицом, либо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к административной ответственности за совершение административных правонарушений, предусмотренных статьями 6.3, 6.5 - 6.7, 14.43, 14.44 - 14.46.2 Кодекса Российской Федерации об административных правонарушениях, что подтверждается декларацией (далее соответственно - Дополнительное требование, КоАП).</w:t>
      </w:r>
    </w:p>
    <w:p w:rsidR="00EB5E78" w:rsidRPr="00EB5E78" w:rsidRDefault="00EB5E78" w:rsidP="00EB5E78">
      <w:pPr>
        <w:spacing w:after="0" w:line="240" w:lineRule="auto"/>
        <w:ind w:firstLine="709"/>
        <w:jc w:val="both"/>
        <w:rPr>
          <w:sz w:val="26"/>
          <w:szCs w:val="26"/>
        </w:rPr>
      </w:pPr>
      <w:r w:rsidRPr="00EB5E78">
        <w:rPr>
          <w:sz w:val="26"/>
          <w:szCs w:val="26"/>
        </w:rPr>
        <w:t>Вместе с тем порядок исчисления срока, в течение которого лицо считается подвергнутым административному наказанию, установлен статьей 4.6 КоАП.</w:t>
      </w:r>
    </w:p>
    <w:p w:rsidR="00EB5E78" w:rsidRPr="00EB5E78" w:rsidRDefault="00EB5E78" w:rsidP="00EB5E78">
      <w:pPr>
        <w:spacing w:after="0" w:line="240" w:lineRule="auto"/>
        <w:ind w:firstLine="709"/>
        <w:jc w:val="both"/>
        <w:rPr>
          <w:sz w:val="26"/>
          <w:szCs w:val="26"/>
        </w:rPr>
      </w:pPr>
      <w:r w:rsidRPr="00EB5E78">
        <w:rPr>
          <w:sz w:val="26"/>
          <w:szCs w:val="26"/>
        </w:rPr>
        <w:t>В соответствии с частью 1 статьи 4.6 КоАП 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 за исключением случаев, предусмотренных частями 2 и 3 указанной статьи КоАП.</w:t>
      </w:r>
    </w:p>
    <w:p w:rsidR="00EB5E78" w:rsidRPr="00EB5E78" w:rsidRDefault="00EB5E78" w:rsidP="00EB5E78">
      <w:pPr>
        <w:spacing w:after="0" w:line="240" w:lineRule="auto"/>
        <w:ind w:firstLine="709"/>
        <w:jc w:val="both"/>
        <w:rPr>
          <w:sz w:val="26"/>
          <w:szCs w:val="26"/>
        </w:rPr>
      </w:pPr>
      <w:r w:rsidRPr="00EB5E78">
        <w:rPr>
          <w:sz w:val="26"/>
          <w:szCs w:val="26"/>
        </w:rPr>
        <w:t>Согласно части 2 статьи 4.6 КоАП лицо, которому назначено административное наказание в виде административного штрафа за совершение административного правонарушения и которое уплатило административный штраф до дня вступления в законную силу соответствующего постановления о назначении административного наказания, считается подвергнутым данному наказанию со дня вступления в законную силу указанного постановления до истечения одного года со дня уплаты административного штрафа.</w:t>
      </w:r>
    </w:p>
    <w:p w:rsidR="00EB5E78" w:rsidRPr="00EB5E78" w:rsidRDefault="00EB5E78" w:rsidP="00EB5E78">
      <w:pPr>
        <w:spacing w:after="0" w:line="240" w:lineRule="auto"/>
        <w:ind w:firstLine="709"/>
        <w:jc w:val="both"/>
        <w:rPr>
          <w:sz w:val="26"/>
          <w:szCs w:val="26"/>
        </w:rPr>
      </w:pPr>
      <w:r w:rsidRPr="00EB5E78">
        <w:rPr>
          <w:sz w:val="26"/>
          <w:szCs w:val="26"/>
        </w:rPr>
        <w:t>Общее правило исчисления срока, в течение которого лицо считается подвергнутым административному наказанию, установленное статьей 4.6 КоАП, распространяется на лиц, привлеченных к административной ответственности за совершение административных правонарушений, предусмотренных статьями 6.3, 6.5 - 6.7, 14.43, 14.44 - 14.46.2 КоАП.</w:t>
      </w:r>
    </w:p>
    <w:p w:rsidR="00EB5E78" w:rsidRDefault="00EB5E78" w:rsidP="00EB5E78">
      <w:pPr>
        <w:spacing w:after="0" w:line="240" w:lineRule="auto"/>
        <w:ind w:firstLine="709"/>
        <w:jc w:val="both"/>
        <w:rPr>
          <w:sz w:val="26"/>
          <w:szCs w:val="26"/>
        </w:rPr>
      </w:pPr>
      <w:r w:rsidRPr="00EB5E78">
        <w:rPr>
          <w:sz w:val="26"/>
          <w:szCs w:val="26"/>
        </w:rPr>
        <w:t>Таким образом, при рассмотрении заявки на предмет соответствия Дополнительному требованию необходимо учитывать положения статьи 4.6 КоАП в части срока, в течение которого лицо считается подвергнутым административному наказанию.</w:t>
      </w:r>
    </w:p>
    <w:p w:rsidR="00EB5E78" w:rsidRDefault="00EB5E78" w:rsidP="00EB5E78">
      <w:pPr>
        <w:spacing w:after="0" w:line="240" w:lineRule="auto"/>
        <w:ind w:firstLine="709"/>
        <w:jc w:val="both"/>
        <w:rPr>
          <w:sz w:val="26"/>
          <w:szCs w:val="26"/>
        </w:rPr>
      </w:pPr>
    </w:p>
    <w:p w:rsidR="00EB5E78" w:rsidRDefault="00EB5E78" w:rsidP="00EB5E78">
      <w:pPr>
        <w:spacing w:after="0" w:line="240" w:lineRule="auto"/>
        <w:ind w:firstLine="709"/>
        <w:jc w:val="both"/>
        <w:rPr>
          <w:i/>
          <w:sz w:val="26"/>
          <w:szCs w:val="26"/>
        </w:rPr>
      </w:pPr>
      <w:r w:rsidRPr="00EB5E78">
        <w:rPr>
          <w:i/>
          <w:sz w:val="26"/>
          <w:szCs w:val="26"/>
        </w:rPr>
        <w:t xml:space="preserve">Проект постановления Правительства РФ № 01/01/10-25/00161276 «О внесении изменений в постановления Правительства Российской Федерации от 23 декабря 2024 г. </w:t>
      </w:r>
      <w:r w:rsidRPr="00EB5E78">
        <w:rPr>
          <w:i/>
          <w:sz w:val="26"/>
          <w:szCs w:val="26"/>
        </w:rPr>
        <w:br/>
        <w:t>№ 1875»</w:t>
      </w:r>
    </w:p>
    <w:p w:rsidR="00EB5E78" w:rsidRDefault="00EB5E78" w:rsidP="00EB5E78">
      <w:pPr>
        <w:spacing w:after="0" w:line="240" w:lineRule="auto"/>
        <w:ind w:firstLine="709"/>
        <w:jc w:val="both"/>
        <w:rPr>
          <w:sz w:val="26"/>
          <w:szCs w:val="26"/>
        </w:rPr>
      </w:pPr>
      <w:proofErr w:type="spellStart"/>
      <w:r w:rsidRPr="00EB5E78">
        <w:rPr>
          <w:sz w:val="26"/>
          <w:szCs w:val="26"/>
        </w:rPr>
        <w:t>Минпромторг</w:t>
      </w:r>
      <w:proofErr w:type="spellEnd"/>
      <w:r w:rsidRPr="00EB5E78">
        <w:rPr>
          <w:sz w:val="26"/>
          <w:szCs w:val="26"/>
        </w:rPr>
        <w:t xml:space="preserve"> России предложил расширить перечень </w:t>
      </w:r>
      <w:proofErr w:type="spellStart"/>
      <w:r w:rsidRPr="00EB5E78">
        <w:rPr>
          <w:sz w:val="26"/>
          <w:szCs w:val="26"/>
        </w:rPr>
        <w:t>медизделий</w:t>
      </w:r>
      <w:proofErr w:type="spellEnd"/>
      <w:r w:rsidRPr="00EB5E78">
        <w:rPr>
          <w:sz w:val="26"/>
          <w:szCs w:val="26"/>
        </w:rPr>
        <w:t>, на которые распространяются ограничения национального режима</w:t>
      </w:r>
      <w:r w:rsidR="00F24772">
        <w:rPr>
          <w:sz w:val="26"/>
          <w:szCs w:val="26"/>
        </w:rPr>
        <w:t xml:space="preserve">, дополнив приложение № 2 к Постановлению № 1875 позициями «Катетер баллонный стандартный для </w:t>
      </w:r>
      <w:proofErr w:type="spellStart"/>
      <w:r w:rsidR="00F24772">
        <w:rPr>
          <w:sz w:val="26"/>
          <w:szCs w:val="26"/>
        </w:rPr>
        <w:t>ангинопластики</w:t>
      </w:r>
      <w:proofErr w:type="spellEnd"/>
      <w:r w:rsidR="00F24772">
        <w:rPr>
          <w:sz w:val="26"/>
          <w:szCs w:val="26"/>
        </w:rPr>
        <w:t>», «</w:t>
      </w:r>
      <w:proofErr w:type="spellStart"/>
      <w:r w:rsidR="00F24772">
        <w:rPr>
          <w:sz w:val="26"/>
          <w:szCs w:val="26"/>
        </w:rPr>
        <w:t>Стенты</w:t>
      </w:r>
      <w:proofErr w:type="spellEnd"/>
      <w:r w:rsidR="00F24772">
        <w:rPr>
          <w:sz w:val="26"/>
          <w:szCs w:val="26"/>
        </w:rPr>
        <w:t xml:space="preserve"> для коронарных артерий, металлические непокрытые», «</w:t>
      </w:r>
      <w:proofErr w:type="spellStart"/>
      <w:r w:rsidR="00F24772">
        <w:rPr>
          <w:sz w:val="26"/>
          <w:szCs w:val="26"/>
        </w:rPr>
        <w:t>Стенты</w:t>
      </w:r>
      <w:proofErr w:type="spellEnd"/>
      <w:r w:rsidR="00F24772">
        <w:rPr>
          <w:sz w:val="26"/>
          <w:szCs w:val="26"/>
        </w:rPr>
        <w:t xml:space="preserve"> для коронарных артерий, выделяющие лекарственное средство».</w:t>
      </w:r>
    </w:p>
    <w:p w:rsidR="00F24772" w:rsidRDefault="00F24772" w:rsidP="00EB5E78">
      <w:pPr>
        <w:spacing w:after="0" w:line="240" w:lineRule="auto"/>
        <w:ind w:firstLine="709"/>
        <w:jc w:val="both"/>
        <w:rPr>
          <w:sz w:val="26"/>
          <w:szCs w:val="26"/>
        </w:rPr>
      </w:pPr>
      <w:r>
        <w:rPr>
          <w:sz w:val="26"/>
          <w:szCs w:val="26"/>
        </w:rPr>
        <w:t>В случае принятия изменений постановление вступит в силу с 01.07.2026.</w:t>
      </w:r>
    </w:p>
    <w:p w:rsidR="00F24772" w:rsidRDefault="00F24772" w:rsidP="00EB5E78">
      <w:pPr>
        <w:spacing w:after="0" w:line="240" w:lineRule="auto"/>
        <w:ind w:firstLine="709"/>
        <w:jc w:val="both"/>
        <w:rPr>
          <w:sz w:val="26"/>
          <w:szCs w:val="26"/>
        </w:rPr>
      </w:pPr>
      <w:r>
        <w:rPr>
          <w:sz w:val="26"/>
          <w:szCs w:val="26"/>
        </w:rPr>
        <w:t>Общественное обсуждение завершится 29.10.2025.</w:t>
      </w:r>
    </w:p>
    <w:p w:rsidR="00F24772" w:rsidRDefault="00AD05B2" w:rsidP="00EB5E78">
      <w:pPr>
        <w:spacing w:after="0" w:line="240" w:lineRule="auto"/>
        <w:ind w:firstLine="709"/>
        <w:jc w:val="both"/>
        <w:rPr>
          <w:rStyle w:val="ac"/>
          <w:sz w:val="26"/>
          <w:szCs w:val="26"/>
        </w:rPr>
      </w:pPr>
      <w:hyperlink r:id="rId7" w:history="1">
        <w:r w:rsidR="00F24772" w:rsidRPr="00A73E99">
          <w:rPr>
            <w:rStyle w:val="ac"/>
            <w:sz w:val="26"/>
            <w:szCs w:val="26"/>
          </w:rPr>
          <w:t>https://regulation.gov.ru/projects/161276/</w:t>
        </w:r>
      </w:hyperlink>
    </w:p>
    <w:p w:rsidR="005751FF" w:rsidRDefault="005751FF" w:rsidP="00EB5E78">
      <w:pPr>
        <w:spacing w:after="0" w:line="240" w:lineRule="auto"/>
        <w:ind w:firstLine="709"/>
        <w:jc w:val="both"/>
        <w:rPr>
          <w:rStyle w:val="ac"/>
          <w:sz w:val="26"/>
          <w:szCs w:val="26"/>
        </w:rPr>
      </w:pPr>
    </w:p>
    <w:p w:rsidR="005751FF" w:rsidRPr="005751FF" w:rsidRDefault="005751FF" w:rsidP="005751FF">
      <w:pPr>
        <w:spacing w:after="0" w:line="240" w:lineRule="auto"/>
        <w:ind w:firstLine="709"/>
        <w:jc w:val="both"/>
        <w:rPr>
          <w:i/>
          <w:sz w:val="26"/>
          <w:szCs w:val="26"/>
        </w:rPr>
      </w:pPr>
      <w:r w:rsidRPr="005751FF">
        <w:rPr>
          <w:i/>
          <w:sz w:val="26"/>
          <w:szCs w:val="26"/>
        </w:rPr>
        <w:t>Решение Арбитражного суда города Санкт-Петербурга и Ленинградской области от 22.09.2025 по делу № А56-56017/2025</w:t>
      </w:r>
    </w:p>
    <w:p w:rsidR="005751FF" w:rsidRPr="005751FF" w:rsidRDefault="005751FF" w:rsidP="005751FF">
      <w:pPr>
        <w:spacing w:after="0" w:line="240" w:lineRule="auto"/>
        <w:ind w:firstLine="709"/>
        <w:jc w:val="both"/>
        <w:rPr>
          <w:sz w:val="26"/>
          <w:szCs w:val="26"/>
        </w:rPr>
      </w:pPr>
      <w:r w:rsidRPr="005751FF">
        <w:rPr>
          <w:sz w:val="26"/>
          <w:szCs w:val="26"/>
        </w:rPr>
        <w:t>Заявитель: Учреждение</w:t>
      </w:r>
    </w:p>
    <w:p w:rsidR="005751FF" w:rsidRPr="005751FF" w:rsidRDefault="005751FF" w:rsidP="005751FF">
      <w:pPr>
        <w:spacing w:after="0" w:line="240" w:lineRule="auto"/>
        <w:ind w:firstLine="709"/>
        <w:jc w:val="both"/>
        <w:rPr>
          <w:sz w:val="26"/>
          <w:szCs w:val="26"/>
        </w:rPr>
      </w:pPr>
      <w:r w:rsidRPr="005751FF">
        <w:rPr>
          <w:sz w:val="26"/>
          <w:szCs w:val="26"/>
        </w:rPr>
        <w:t xml:space="preserve">В УФАС поступила жалоба Общества на действия комиссии Учреждения при определении поставщика путем проведения электронного аукциона в связи с отклонением </w:t>
      </w:r>
      <w:r w:rsidRPr="005751FF">
        <w:rPr>
          <w:sz w:val="26"/>
          <w:szCs w:val="26"/>
        </w:rPr>
        <w:lastRenderedPageBreak/>
        <w:t>заявки из-за выявления несоответствия сведений, содержащихся в выписке из реестра промышленной продукции информации, которую Общество указало в своей заявке.</w:t>
      </w:r>
    </w:p>
    <w:p w:rsidR="005751FF" w:rsidRPr="005751FF" w:rsidRDefault="005751FF" w:rsidP="005751FF">
      <w:pPr>
        <w:spacing w:after="0" w:line="240" w:lineRule="auto"/>
        <w:ind w:firstLine="709"/>
        <w:jc w:val="both"/>
        <w:rPr>
          <w:sz w:val="26"/>
          <w:szCs w:val="26"/>
        </w:rPr>
      </w:pPr>
      <w:r w:rsidRPr="005751FF">
        <w:rPr>
          <w:sz w:val="26"/>
          <w:szCs w:val="26"/>
        </w:rPr>
        <w:t>В составе заявки Общество предложило товар, соответствующий показателям, установленным в описании объекта закупки, а также указало что информация о предлагаемом к поставке товаре содержится в реестре российской промышленной продукции. По мнению УФАС, указанный реестровый номер соответствует товарной позиции «Автоматизированное рабочее место» и «Автоматизированное рабочее место с дополнительным монитором».</w:t>
      </w:r>
    </w:p>
    <w:p w:rsidR="005751FF" w:rsidRPr="005751FF" w:rsidRDefault="005751FF" w:rsidP="005751FF">
      <w:pPr>
        <w:spacing w:after="0" w:line="240" w:lineRule="auto"/>
        <w:ind w:firstLine="709"/>
        <w:jc w:val="both"/>
        <w:rPr>
          <w:sz w:val="26"/>
          <w:szCs w:val="26"/>
        </w:rPr>
      </w:pPr>
      <w:r w:rsidRPr="005751FF">
        <w:rPr>
          <w:sz w:val="26"/>
          <w:szCs w:val="26"/>
        </w:rPr>
        <w:t>По результатам рассмотрения жалобы УФАС принято решение о признании жалобы Общества обоснованной.</w:t>
      </w:r>
    </w:p>
    <w:p w:rsidR="005751FF" w:rsidRPr="005751FF" w:rsidRDefault="005751FF" w:rsidP="005751FF">
      <w:pPr>
        <w:spacing w:after="0" w:line="240" w:lineRule="auto"/>
        <w:ind w:firstLine="709"/>
        <w:jc w:val="both"/>
        <w:rPr>
          <w:sz w:val="26"/>
          <w:szCs w:val="26"/>
        </w:rPr>
      </w:pPr>
      <w:r w:rsidRPr="005751FF">
        <w:rPr>
          <w:sz w:val="26"/>
          <w:szCs w:val="26"/>
        </w:rPr>
        <w:t>Не согласившись с вынесенным УФАС решением, Учреждение обратилось в суд с заявлением о признании решения УФАС недействительным.</w:t>
      </w:r>
    </w:p>
    <w:p w:rsidR="005751FF" w:rsidRPr="005751FF" w:rsidRDefault="005751FF" w:rsidP="005751FF">
      <w:pPr>
        <w:spacing w:after="0" w:line="240" w:lineRule="auto"/>
        <w:ind w:firstLine="709"/>
        <w:jc w:val="both"/>
        <w:rPr>
          <w:sz w:val="26"/>
          <w:szCs w:val="26"/>
        </w:rPr>
      </w:pPr>
      <w:r w:rsidRPr="005751FF">
        <w:rPr>
          <w:sz w:val="26"/>
          <w:szCs w:val="26"/>
        </w:rPr>
        <w:t>Суд установил, что номер реестровой записи из реестра российской промышленной продукции, указанный Обществом в своей заявке на участие в закупке, не соответствует товару, указанному в извещении к закупке. В соответствии с извещением об осуществлении закупки Учреждение осуществляло закупку комплекта автоматизированного рабочего места (моноблок, клавиатура, мышь), в то время как Общество указало реестровый номер полнофункционального рабочего места сотрудника, включающего в себя системный блок, монитор и периферийные устройства, что не соответствует объекту закупки, так как в соответствии с извещением к закупке требовался моноблок.</w:t>
      </w:r>
    </w:p>
    <w:p w:rsidR="005751FF" w:rsidRPr="005751FF" w:rsidRDefault="005751FF" w:rsidP="005751FF">
      <w:pPr>
        <w:spacing w:after="0" w:line="240" w:lineRule="auto"/>
        <w:ind w:firstLine="709"/>
        <w:jc w:val="both"/>
        <w:rPr>
          <w:sz w:val="26"/>
          <w:szCs w:val="26"/>
        </w:rPr>
      </w:pPr>
      <w:r w:rsidRPr="005751FF">
        <w:rPr>
          <w:sz w:val="26"/>
          <w:szCs w:val="26"/>
        </w:rPr>
        <w:t>Суд указал, что, сопоставляя продукцию, предложенную участником закупки, с продукцией, требуемой заказчику, комиссия заказчика должна руководствоваться комплексным подходом, оценивая все представленные в составе заявки документы, а не только лишь формальное согласие участника закупки на поставку необходимой заказчику продукции и представление выписок из реестра.</w:t>
      </w:r>
    </w:p>
    <w:p w:rsidR="005751FF" w:rsidRDefault="005751FF" w:rsidP="005751FF">
      <w:pPr>
        <w:spacing w:after="0" w:line="240" w:lineRule="auto"/>
        <w:ind w:firstLine="709"/>
        <w:jc w:val="both"/>
        <w:rPr>
          <w:sz w:val="26"/>
          <w:szCs w:val="26"/>
        </w:rPr>
      </w:pPr>
      <w:r w:rsidRPr="005751FF">
        <w:rPr>
          <w:sz w:val="26"/>
          <w:szCs w:val="26"/>
        </w:rPr>
        <w:t>Суд признал решение УФАС недействительным.</w:t>
      </w:r>
    </w:p>
    <w:p w:rsidR="0056666D" w:rsidRDefault="0056666D" w:rsidP="005751FF">
      <w:pPr>
        <w:spacing w:after="0" w:line="240" w:lineRule="auto"/>
        <w:ind w:firstLine="709"/>
        <w:jc w:val="both"/>
        <w:rPr>
          <w:sz w:val="26"/>
          <w:szCs w:val="26"/>
        </w:rPr>
      </w:pPr>
    </w:p>
    <w:p w:rsidR="0056666D" w:rsidRPr="0056666D" w:rsidRDefault="0056666D" w:rsidP="0056666D">
      <w:pPr>
        <w:spacing w:after="0" w:line="240" w:lineRule="auto"/>
        <w:ind w:firstLine="709"/>
        <w:jc w:val="both"/>
        <w:rPr>
          <w:sz w:val="26"/>
          <w:szCs w:val="26"/>
        </w:rPr>
      </w:pPr>
    </w:p>
    <w:p w:rsidR="0056666D" w:rsidRPr="0056666D" w:rsidRDefault="0056666D" w:rsidP="0056666D">
      <w:pPr>
        <w:spacing w:after="0" w:line="240" w:lineRule="auto"/>
        <w:ind w:firstLine="709"/>
        <w:jc w:val="both"/>
        <w:rPr>
          <w:i/>
          <w:sz w:val="26"/>
          <w:szCs w:val="26"/>
        </w:rPr>
      </w:pPr>
      <w:r w:rsidRPr="0056666D">
        <w:rPr>
          <w:i/>
          <w:sz w:val="26"/>
          <w:szCs w:val="26"/>
        </w:rPr>
        <w:t>Решение Арбитражного суда г. Москвы от 22.09.2025 по делу № А40-134689/25-33-1102</w:t>
      </w:r>
    </w:p>
    <w:p w:rsidR="0056666D" w:rsidRPr="0056666D" w:rsidRDefault="0056666D" w:rsidP="0056666D">
      <w:pPr>
        <w:spacing w:after="0" w:line="240" w:lineRule="auto"/>
        <w:ind w:firstLine="709"/>
        <w:jc w:val="both"/>
        <w:rPr>
          <w:sz w:val="26"/>
          <w:szCs w:val="26"/>
        </w:rPr>
      </w:pPr>
      <w:r w:rsidRPr="0056666D">
        <w:rPr>
          <w:sz w:val="26"/>
          <w:szCs w:val="26"/>
        </w:rPr>
        <w:t>Заявитель: Учреждение</w:t>
      </w:r>
    </w:p>
    <w:p w:rsidR="0056666D" w:rsidRPr="0056666D" w:rsidRDefault="0056666D" w:rsidP="0056666D">
      <w:pPr>
        <w:spacing w:after="0" w:line="240" w:lineRule="auto"/>
        <w:ind w:firstLine="709"/>
        <w:jc w:val="both"/>
        <w:rPr>
          <w:sz w:val="26"/>
          <w:szCs w:val="26"/>
        </w:rPr>
      </w:pPr>
      <w:r w:rsidRPr="0056666D">
        <w:rPr>
          <w:sz w:val="26"/>
          <w:szCs w:val="26"/>
        </w:rPr>
        <w:t>В УФАС поступила жалоба Общества на действия заказчика при проведении электронного аукциона на выполнение работ по изготовлению и поставке продукции наградной и сувенирной (текстильные изделия).</w:t>
      </w:r>
    </w:p>
    <w:p w:rsidR="0056666D" w:rsidRPr="0056666D" w:rsidRDefault="0056666D" w:rsidP="0056666D">
      <w:pPr>
        <w:spacing w:after="0" w:line="240" w:lineRule="auto"/>
        <w:ind w:firstLine="709"/>
        <w:jc w:val="both"/>
        <w:rPr>
          <w:sz w:val="26"/>
          <w:szCs w:val="26"/>
        </w:rPr>
      </w:pPr>
      <w:r w:rsidRPr="0056666D">
        <w:rPr>
          <w:sz w:val="26"/>
          <w:szCs w:val="26"/>
        </w:rPr>
        <w:t xml:space="preserve">По мнению </w:t>
      </w:r>
      <w:proofErr w:type="gramStart"/>
      <w:r w:rsidRPr="0056666D">
        <w:rPr>
          <w:sz w:val="26"/>
          <w:szCs w:val="26"/>
        </w:rPr>
        <w:t>Общества у комиссии заказчика</w:t>
      </w:r>
      <w:proofErr w:type="gramEnd"/>
      <w:r w:rsidRPr="0056666D">
        <w:rPr>
          <w:sz w:val="26"/>
          <w:szCs w:val="26"/>
        </w:rPr>
        <w:t xml:space="preserve"> отсутствовали основания для признания заявки несоответствующей требованиям извещения (непредставление информации и документов). Предметом закупки является изготовление и поставка текстильных изделий. Требовать предоставление документов и сведений, подтверждающих страну происхождения изготовляемых товаров, в целях реализации запрета закупки товаров, происходящих из иностранных государств, согласно Постановлению № 1875 неправомерно.  </w:t>
      </w:r>
    </w:p>
    <w:p w:rsidR="0056666D" w:rsidRDefault="0056666D" w:rsidP="0056666D">
      <w:pPr>
        <w:spacing w:after="0" w:line="240" w:lineRule="auto"/>
        <w:ind w:firstLine="709"/>
        <w:jc w:val="both"/>
        <w:rPr>
          <w:sz w:val="26"/>
          <w:szCs w:val="26"/>
        </w:rPr>
      </w:pPr>
      <w:r w:rsidRPr="0056666D">
        <w:rPr>
          <w:sz w:val="26"/>
          <w:szCs w:val="26"/>
        </w:rPr>
        <w:t>УФАС пришло к выводу об обоснованности доводов жалобы Общества.</w:t>
      </w:r>
    </w:p>
    <w:p w:rsidR="0056666D" w:rsidRPr="0056666D" w:rsidRDefault="0056666D" w:rsidP="0056666D">
      <w:pPr>
        <w:spacing w:after="0" w:line="240" w:lineRule="auto"/>
        <w:ind w:firstLine="709"/>
        <w:jc w:val="both"/>
        <w:rPr>
          <w:sz w:val="26"/>
          <w:szCs w:val="26"/>
        </w:rPr>
      </w:pPr>
      <w:r w:rsidRPr="0056666D">
        <w:rPr>
          <w:sz w:val="26"/>
          <w:szCs w:val="26"/>
        </w:rPr>
        <w:t xml:space="preserve">Не согласившись с решением УФАС, Учреждение обратилось в суд. </w:t>
      </w:r>
    </w:p>
    <w:p w:rsidR="0056666D" w:rsidRPr="0056666D" w:rsidRDefault="0056666D" w:rsidP="0056666D">
      <w:pPr>
        <w:spacing w:after="0" w:line="240" w:lineRule="auto"/>
        <w:ind w:firstLine="709"/>
        <w:jc w:val="both"/>
        <w:rPr>
          <w:sz w:val="26"/>
          <w:szCs w:val="26"/>
        </w:rPr>
      </w:pPr>
      <w:r w:rsidRPr="0056666D">
        <w:rPr>
          <w:sz w:val="26"/>
          <w:szCs w:val="26"/>
        </w:rPr>
        <w:t>Отказывая в удовлетворении требований, суд исходил из следующего.</w:t>
      </w:r>
    </w:p>
    <w:p w:rsidR="0056666D" w:rsidRPr="0056666D" w:rsidRDefault="0056666D" w:rsidP="0056666D">
      <w:pPr>
        <w:spacing w:after="0" w:line="240" w:lineRule="auto"/>
        <w:ind w:firstLine="709"/>
        <w:jc w:val="both"/>
        <w:rPr>
          <w:sz w:val="26"/>
          <w:szCs w:val="26"/>
        </w:rPr>
      </w:pPr>
      <w:r w:rsidRPr="0056666D">
        <w:rPr>
          <w:sz w:val="26"/>
          <w:szCs w:val="26"/>
        </w:rPr>
        <w:t xml:space="preserve">Согласно </w:t>
      </w:r>
      <w:proofErr w:type="gramStart"/>
      <w:r w:rsidRPr="0056666D">
        <w:rPr>
          <w:sz w:val="26"/>
          <w:szCs w:val="26"/>
        </w:rPr>
        <w:t>извещению</w:t>
      </w:r>
      <w:proofErr w:type="gramEnd"/>
      <w:r w:rsidRPr="0056666D">
        <w:rPr>
          <w:sz w:val="26"/>
          <w:szCs w:val="26"/>
        </w:rPr>
        <w:t xml:space="preserve"> предметом закупки является изготовление и поставка сувенирной продукции, код ОКПД2 14.19.99.100 «Изготовление сувенирной продукции «Головной убор», код ОКПД2 13.99.99.100 «Изготовление сувенирной продукции «Плед».</w:t>
      </w:r>
    </w:p>
    <w:p w:rsidR="0056666D" w:rsidRPr="0056666D" w:rsidRDefault="0056666D" w:rsidP="0056666D">
      <w:pPr>
        <w:spacing w:after="0" w:line="240" w:lineRule="auto"/>
        <w:ind w:firstLine="709"/>
        <w:jc w:val="both"/>
        <w:rPr>
          <w:sz w:val="26"/>
          <w:szCs w:val="26"/>
        </w:rPr>
      </w:pPr>
      <w:r w:rsidRPr="0056666D">
        <w:rPr>
          <w:sz w:val="26"/>
          <w:szCs w:val="26"/>
        </w:rPr>
        <w:t>В техническом задании установлены положения по согласованию макетов, закупке материалов для производства продукции, изготовлению продукции по заявкам заказчика.</w:t>
      </w:r>
    </w:p>
    <w:p w:rsidR="0056666D" w:rsidRPr="0056666D" w:rsidRDefault="0056666D" w:rsidP="0056666D">
      <w:pPr>
        <w:spacing w:after="0" w:line="240" w:lineRule="auto"/>
        <w:ind w:firstLine="709"/>
        <w:jc w:val="both"/>
        <w:rPr>
          <w:sz w:val="26"/>
          <w:szCs w:val="26"/>
        </w:rPr>
      </w:pPr>
      <w:r w:rsidRPr="0056666D">
        <w:rPr>
          <w:sz w:val="26"/>
          <w:szCs w:val="26"/>
        </w:rPr>
        <w:lastRenderedPageBreak/>
        <w:t>В то же время в извещении установлен запрет закупок товаров, происходящих из иностранных государственных государств, на основании Постановления № 1875.</w:t>
      </w:r>
    </w:p>
    <w:p w:rsidR="0056666D" w:rsidRPr="0056666D" w:rsidRDefault="0056666D" w:rsidP="0056666D">
      <w:pPr>
        <w:spacing w:after="0" w:line="240" w:lineRule="auto"/>
        <w:ind w:firstLine="709"/>
        <w:jc w:val="both"/>
        <w:rPr>
          <w:sz w:val="26"/>
          <w:szCs w:val="26"/>
        </w:rPr>
      </w:pPr>
      <w:r w:rsidRPr="0056666D">
        <w:rPr>
          <w:sz w:val="26"/>
          <w:szCs w:val="26"/>
        </w:rPr>
        <w:t>Согласно абзацу 3 пункта 1 Постановления № 1875 следует, что запрет не подлежит применению в случаях, когда предметом закупки являются именно работы или услуги, и выполнение (оказание) таких работ (услуг) не предполагает поставку товара Заказчику.</w:t>
      </w:r>
    </w:p>
    <w:p w:rsidR="0056666D" w:rsidRPr="0056666D" w:rsidRDefault="0056666D" w:rsidP="0056666D">
      <w:pPr>
        <w:spacing w:after="0" w:line="240" w:lineRule="auto"/>
        <w:ind w:firstLine="709"/>
        <w:jc w:val="both"/>
        <w:rPr>
          <w:sz w:val="26"/>
          <w:szCs w:val="26"/>
        </w:rPr>
      </w:pPr>
      <w:r w:rsidRPr="0056666D">
        <w:rPr>
          <w:sz w:val="26"/>
          <w:szCs w:val="26"/>
        </w:rPr>
        <w:t>Комиссия УФАС не смогла сделать вывод, что закупаемая продукция соответствует признакам поставляемого товара по смыслу Закона № 44-ФЗ. Из извещения не следует о принятии или передаче (по товарной накладной или акту передачи) продукции к бухгалтерскому учету в соответствии с Законом № 402-ФЗ.</w:t>
      </w:r>
    </w:p>
    <w:p w:rsidR="0056666D" w:rsidRPr="0056666D" w:rsidRDefault="0056666D" w:rsidP="0056666D">
      <w:pPr>
        <w:spacing w:after="0" w:line="240" w:lineRule="auto"/>
        <w:ind w:firstLine="709"/>
        <w:jc w:val="both"/>
        <w:rPr>
          <w:sz w:val="26"/>
          <w:szCs w:val="26"/>
        </w:rPr>
      </w:pPr>
      <w:r w:rsidRPr="0056666D">
        <w:rPr>
          <w:sz w:val="26"/>
          <w:szCs w:val="26"/>
        </w:rPr>
        <w:t>Аналогичная позиция отражена в письме ФАС России от 25.06.2020 №ИА/53616/20.</w:t>
      </w:r>
    </w:p>
    <w:p w:rsidR="0056666D" w:rsidRPr="0056666D" w:rsidRDefault="0056666D" w:rsidP="0056666D">
      <w:pPr>
        <w:spacing w:after="0" w:line="240" w:lineRule="auto"/>
        <w:ind w:firstLine="709"/>
        <w:jc w:val="both"/>
        <w:rPr>
          <w:sz w:val="26"/>
          <w:szCs w:val="26"/>
        </w:rPr>
      </w:pPr>
      <w:r w:rsidRPr="0056666D">
        <w:rPr>
          <w:sz w:val="26"/>
          <w:szCs w:val="26"/>
        </w:rPr>
        <w:t>Суд поддержал позицию УАФС о неправомерности установления запрета, когда объектом закупки является изготовление товара, а не его поставка.</w:t>
      </w:r>
    </w:p>
    <w:p w:rsidR="0056666D" w:rsidRPr="0056666D" w:rsidRDefault="0056666D" w:rsidP="0056666D">
      <w:pPr>
        <w:spacing w:after="0" w:line="240" w:lineRule="auto"/>
        <w:ind w:firstLine="709"/>
        <w:jc w:val="both"/>
        <w:rPr>
          <w:sz w:val="26"/>
          <w:szCs w:val="26"/>
        </w:rPr>
      </w:pPr>
    </w:p>
    <w:p w:rsidR="0056666D" w:rsidRPr="0056666D" w:rsidRDefault="0056666D" w:rsidP="0056666D">
      <w:pPr>
        <w:spacing w:after="0" w:line="240" w:lineRule="auto"/>
        <w:ind w:firstLine="709"/>
        <w:jc w:val="both"/>
        <w:rPr>
          <w:i/>
          <w:sz w:val="26"/>
          <w:szCs w:val="26"/>
        </w:rPr>
      </w:pPr>
      <w:r w:rsidRPr="0056666D">
        <w:rPr>
          <w:i/>
          <w:sz w:val="26"/>
          <w:szCs w:val="26"/>
        </w:rPr>
        <w:t>Решение управления Федеральной антимонопольной службы по Кемеровской области от 30.09.2025 по делу № 042/06/105-1524/2025</w:t>
      </w:r>
    </w:p>
    <w:p w:rsidR="0056666D" w:rsidRPr="0056666D" w:rsidRDefault="0056666D" w:rsidP="0056666D">
      <w:pPr>
        <w:spacing w:after="0" w:line="240" w:lineRule="auto"/>
        <w:ind w:firstLine="709"/>
        <w:jc w:val="both"/>
        <w:rPr>
          <w:sz w:val="26"/>
          <w:szCs w:val="26"/>
        </w:rPr>
      </w:pPr>
      <w:r w:rsidRPr="0056666D">
        <w:rPr>
          <w:sz w:val="26"/>
          <w:szCs w:val="26"/>
        </w:rPr>
        <w:t>Заявитель: Общество</w:t>
      </w:r>
    </w:p>
    <w:p w:rsidR="0056666D" w:rsidRPr="0056666D" w:rsidRDefault="0056666D" w:rsidP="0056666D">
      <w:pPr>
        <w:spacing w:after="0" w:line="240" w:lineRule="auto"/>
        <w:ind w:firstLine="709"/>
        <w:jc w:val="both"/>
        <w:rPr>
          <w:sz w:val="26"/>
          <w:szCs w:val="26"/>
        </w:rPr>
      </w:pPr>
      <w:r w:rsidRPr="0056666D">
        <w:rPr>
          <w:sz w:val="26"/>
          <w:szCs w:val="26"/>
        </w:rPr>
        <w:t xml:space="preserve">В Кемеровское УФАС России (Управление) поступила жалоба Общества на отклонение заявки Общества из-за непредставления информации и документов, предусмотренных извещением (ИНН участника корпоративного юридического лица, владеющего более 25% акциями (долей, паев) корпоративного юридического лица). </w:t>
      </w:r>
    </w:p>
    <w:p w:rsidR="0056666D" w:rsidRPr="0056666D" w:rsidRDefault="0056666D" w:rsidP="0056666D">
      <w:pPr>
        <w:spacing w:after="0" w:line="240" w:lineRule="auto"/>
        <w:ind w:firstLine="709"/>
        <w:jc w:val="both"/>
        <w:rPr>
          <w:sz w:val="26"/>
          <w:szCs w:val="26"/>
        </w:rPr>
      </w:pPr>
      <w:r w:rsidRPr="0056666D">
        <w:rPr>
          <w:sz w:val="26"/>
          <w:szCs w:val="26"/>
        </w:rPr>
        <w:t>В ходе рассмотрения жалобы Управлением установлено следующее.</w:t>
      </w:r>
    </w:p>
    <w:p w:rsidR="0056666D" w:rsidRPr="0056666D" w:rsidRDefault="0056666D" w:rsidP="0056666D">
      <w:pPr>
        <w:spacing w:after="0" w:line="240" w:lineRule="auto"/>
        <w:ind w:firstLine="709"/>
        <w:jc w:val="both"/>
        <w:rPr>
          <w:sz w:val="26"/>
          <w:szCs w:val="26"/>
        </w:rPr>
      </w:pPr>
      <w:r w:rsidRPr="0056666D">
        <w:rPr>
          <w:sz w:val="26"/>
          <w:szCs w:val="26"/>
        </w:rPr>
        <w:t xml:space="preserve">  Уполномоченным органом размещено извещение о проведении электронного аукциона «Мясо и пищевые субпродукты домашней птицы». Заказчиком к составу заявки определены требования, согласно подпункту «в» пункта 1 части 1 статьи 43 Закона № 44-ФЗ заявка должна содержать ИНН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корпоративного юридического лица, владеющего более 25% (долей, паев) акций корпоративного юридического лица. </w:t>
      </w:r>
    </w:p>
    <w:p w:rsidR="0056666D" w:rsidRPr="0056666D" w:rsidRDefault="0056666D" w:rsidP="0056666D">
      <w:pPr>
        <w:spacing w:after="0" w:line="240" w:lineRule="auto"/>
        <w:ind w:firstLine="709"/>
        <w:jc w:val="both"/>
        <w:rPr>
          <w:sz w:val="26"/>
          <w:szCs w:val="26"/>
        </w:rPr>
      </w:pPr>
      <w:r w:rsidRPr="0056666D">
        <w:rPr>
          <w:sz w:val="26"/>
          <w:szCs w:val="26"/>
        </w:rPr>
        <w:t>Согласно пункту 2 части 6 статьи 43 Закона № 44-ФЗ, указанная информация и документы не включаются участником закупки в заявку на участие в закупке, а направляется заказчику оператором электронной площадки посредством взаимодействия с ЕИС (по состоянию на дату и время их направления).</w:t>
      </w:r>
    </w:p>
    <w:p w:rsidR="0056666D" w:rsidRPr="0056666D" w:rsidRDefault="0056666D" w:rsidP="0056666D">
      <w:pPr>
        <w:spacing w:after="0" w:line="240" w:lineRule="auto"/>
        <w:ind w:firstLine="709"/>
        <w:jc w:val="both"/>
        <w:rPr>
          <w:sz w:val="26"/>
          <w:szCs w:val="26"/>
        </w:rPr>
      </w:pPr>
      <w:r w:rsidRPr="0056666D">
        <w:rPr>
          <w:sz w:val="26"/>
          <w:szCs w:val="26"/>
        </w:rPr>
        <w:t>Согласно данным из заявки Общества в ней содержались сведения только о лице, имеющем право без доверенности действовать от имени юридического лица. Из выписки ЕГРЮЛ следует, что участником юридического лица, которому принадлежит 100% долей, является лицо, ИНН которого в составе заявки отсутствует.</w:t>
      </w:r>
    </w:p>
    <w:p w:rsidR="0056666D" w:rsidRPr="0056666D" w:rsidRDefault="0056666D" w:rsidP="0056666D">
      <w:pPr>
        <w:spacing w:after="0" w:line="240" w:lineRule="auto"/>
        <w:ind w:firstLine="709"/>
        <w:jc w:val="both"/>
        <w:rPr>
          <w:sz w:val="26"/>
          <w:szCs w:val="26"/>
        </w:rPr>
      </w:pPr>
      <w:r w:rsidRPr="0056666D">
        <w:rPr>
          <w:sz w:val="26"/>
          <w:szCs w:val="26"/>
        </w:rPr>
        <w:t>Довод Заявителя о возможности комиссии удостоверится в наличии ИИН участников корпоративного юридического лица, владеющего более чем 25% акций корпоративного юридического лица в выписке из ЕГРЮЛ, Управление признает необоснованным, поскольку положениями Закона № 44-ФЗ предусмотрена обязанность участника закупки предоставить в заявке выписку из ЕГРЮЛ и указать ИНН в отдельности.</w:t>
      </w:r>
    </w:p>
    <w:p w:rsidR="0056666D" w:rsidRDefault="0056666D" w:rsidP="0056666D">
      <w:pPr>
        <w:spacing w:after="0" w:line="240" w:lineRule="auto"/>
        <w:ind w:firstLine="709"/>
        <w:jc w:val="both"/>
        <w:rPr>
          <w:sz w:val="26"/>
          <w:szCs w:val="26"/>
        </w:rPr>
      </w:pPr>
      <w:r w:rsidRPr="0056666D">
        <w:rPr>
          <w:sz w:val="26"/>
          <w:szCs w:val="26"/>
        </w:rPr>
        <w:t xml:space="preserve">Управление признало жалобу ООО необоснованной. </w:t>
      </w:r>
    </w:p>
    <w:p w:rsidR="00D01FA0" w:rsidRDefault="00D01FA0" w:rsidP="0056666D">
      <w:pPr>
        <w:spacing w:after="0" w:line="240" w:lineRule="auto"/>
        <w:ind w:firstLine="709"/>
        <w:jc w:val="both"/>
        <w:rPr>
          <w:sz w:val="26"/>
          <w:szCs w:val="26"/>
        </w:rPr>
      </w:pPr>
    </w:p>
    <w:p w:rsidR="00D01FA0" w:rsidRDefault="00D01FA0" w:rsidP="0056666D">
      <w:pPr>
        <w:spacing w:after="0" w:line="240" w:lineRule="auto"/>
        <w:ind w:firstLine="709"/>
        <w:jc w:val="both"/>
        <w:rPr>
          <w:sz w:val="26"/>
          <w:szCs w:val="26"/>
        </w:rPr>
      </w:pPr>
    </w:p>
    <w:p w:rsidR="00D01FA0" w:rsidRDefault="00D01FA0" w:rsidP="0056666D">
      <w:pPr>
        <w:spacing w:after="0" w:line="240" w:lineRule="auto"/>
        <w:ind w:firstLine="709"/>
        <w:jc w:val="both"/>
        <w:rPr>
          <w:sz w:val="26"/>
          <w:szCs w:val="26"/>
        </w:rPr>
      </w:pPr>
    </w:p>
    <w:p w:rsidR="00D01FA0" w:rsidRPr="00D01FA0" w:rsidRDefault="00D01FA0" w:rsidP="00D01FA0">
      <w:pPr>
        <w:spacing w:after="0" w:line="240" w:lineRule="auto"/>
        <w:ind w:firstLine="709"/>
        <w:jc w:val="both"/>
        <w:rPr>
          <w:i/>
          <w:sz w:val="26"/>
          <w:szCs w:val="26"/>
        </w:rPr>
      </w:pPr>
      <w:r w:rsidRPr="00D01FA0">
        <w:rPr>
          <w:i/>
          <w:sz w:val="26"/>
          <w:szCs w:val="26"/>
        </w:rPr>
        <w:t>Решение Управления Федеральной Антимонопольной службы по Тверской области от 03.09.2025 по делу № 069/06/105-834/2025.</w:t>
      </w:r>
    </w:p>
    <w:p w:rsidR="00D01FA0" w:rsidRPr="00D01FA0" w:rsidRDefault="00D01FA0" w:rsidP="00D01FA0">
      <w:pPr>
        <w:spacing w:after="0" w:line="240" w:lineRule="auto"/>
        <w:ind w:firstLine="709"/>
        <w:jc w:val="both"/>
        <w:rPr>
          <w:i/>
          <w:sz w:val="26"/>
          <w:szCs w:val="26"/>
        </w:rPr>
      </w:pPr>
      <w:r w:rsidRPr="00D01FA0">
        <w:rPr>
          <w:i/>
          <w:sz w:val="26"/>
          <w:szCs w:val="26"/>
        </w:rPr>
        <w:lastRenderedPageBreak/>
        <w:t>Заявитель: Общество</w:t>
      </w:r>
    </w:p>
    <w:p w:rsidR="00D01FA0" w:rsidRPr="00D01FA0" w:rsidRDefault="00D01FA0" w:rsidP="00D01FA0">
      <w:pPr>
        <w:spacing w:after="0" w:line="240" w:lineRule="auto"/>
        <w:ind w:firstLine="709"/>
        <w:jc w:val="both"/>
        <w:rPr>
          <w:sz w:val="26"/>
          <w:szCs w:val="26"/>
        </w:rPr>
      </w:pPr>
      <w:r w:rsidRPr="00D01FA0">
        <w:rPr>
          <w:sz w:val="26"/>
          <w:szCs w:val="26"/>
        </w:rPr>
        <w:t>В УФАС (Управление) поступила жалоба Общества на действия закупочной комиссии при проведении электронного аукциона на поставку медицинских изделий (набор катетеров для вспомогательных репродуктивных технологий) в связи с предоставлением недостоверной информации в отношении указанного в заявке товарного знака.</w:t>
      </w:r>
    </w:p>
    <w:p w:rsidR="00D01FA0" w:rsidRPr="00D01FA0" w:rsidRDefault="00D01FA0" w:rsidP="00D01FA0">
      <w:pPr>
        <w:spacing w:after="0" w:line="240" w:lineRule="auto"/>
        <w:ind w:firstLine="709"/>
        <w:jc w:val="both"/>
        <w:rPr>
          <w:i/>
          <w:sz w:val="26"/>
          <w:szCs w:val="26"/>
        </w:rPr>
      </w:pPr>
      <w:r w:rsidRPr="00D01FA0">
        <w:rPr>
          <w:sz w:val="26"/>
          <w:szCs w:val="26"/>
        </w:rPr>
        <w:t>В ходе рассмотрения жалобы Управлением установлено следующее.</w:t>
      </w:r>
    </w:p>
    <w:p w:rsidR="00D01FA0" w:rsidRPr="00D01FA0" w:rsidRDefault="00D01FA0" w:rsidP="00D01FA0">
      <w:pPr>
        <w:spacing w:after="0" w:line="240" w:lineRule="auto"/>
        <w:ind w:firstLine="709"/>
        <w:jc w:val="both"/>
        <w:rPr>
          <w:i/>
          <w:sz w:val="26"/>
          <w:szCs w:val="26"/>
        </w:rPr>
      </w:pPr>
      <w:r w:rsidRPr="00D01FA0">
        <w:rPr>
          <w:sz w:val="26"/>
          <w:szCs w:val="26"/>
        </w:rPr>
        <w:t>Заявитель в структурированной форме заявки на участие в электронном аукционе предложил к поставке катетер для вспомогательных репродуктивных технологий, указав товарный знак «О», США». Согласно регистрационному удостоверению, приложенному к составу заявки «О», США» является производителем товара.</w:t>
      </w:r>
    </w:p>
    <w:p w:rsidR="00D01FA0" w:rsidRPr="00D01FA0" w:rsidRDefault="00D01FA0" w:rsidP="00D01FA0">
      <w:pPr>
        <w:spacing w:after="0" w:line="240" w:lineRule="auto"/>
        <w:ind w:firstLine="709"/>
        <w:jc w:val="both"/>
        <w:rPr>
          <w:sz w:val="26"/>
          <w:szCs w:val="26"/>
        </w:rPr>
      </w:pPr>
      <w:r w:rsidRPr="00D01FA0">
        <w:rPr>
          <w:sz w:val="26"/>
          <w:szCs w:val="26"/>
        </w:rPr>
        <w:t xml:space="preserve">Комиссией заказчика установлено, что информация о товарном знаке «О», США» в Государственном реестре товарных знаков отсутствует. </w:t>
      </w:r>
    </w:p>
    <w:p w:rsidR="00D01FA0" w:rsidRPr="00D01FA0" w:rsidRDefault="00D01FA0" w:rsidP="00D01FA0">
      <w:pPr>
        <w:spacing w:after="0" w:line="240" w:lineRule="auto"/>
        <w:ind w:firstLine="709"/>
        <w:jc w:val="both"/>
        <w:rPr>
          <w:sz w:val="26"/>
          <w:szCs w:val="26"/>
        </w:rPr>
      </w:pPr>
      <w:r w:rsidRPr="00D01FA0">
        <w:rPr>
          <w:sz w:val="26"/>
          <w:szCs w:val="26"/>
        </w:rPr>
        <w:t>Исходя из данных, представленных на сайте Роспатента, следует, что за правообладателем «О» значится товарный знак под определенным регистрационным номером заявки. Однако номер регистрации товарного знака не указан, указанный товарный знак находится в статусе «Заявка».</w:t>
      </w:r>
    </w:p>
    <w:p w:rsidR="00D01FA0" w:rsidRPr="00D01FA0" w:rsidRDefault="00D01FA0" w:rsidP="00D01FA0">
      <w:pPr>
        <w:spacing w:after="0" w:line="240" w:lineRule="auto"/>
        <w:ind w:firstLine="709"/>
        <w:jc w:val="both"/>
        <w:rPr>
          <w:i/>
          <w:sz w:val="26"/>
          <w:szCs w:val="26"/>
        </w:rPr>
      </w:pPr>
      <w:r w:rsidRPr="00D01FA0">
        <w:rPr>
          <w:sz w:val="26"/>
          <w:szCs w:val="26"/>
        </w:rPr>
        <w:t>Таким образом установлено, что указанное Обществом наименование товарного знака таковым не является, это наименование правообладателя. Несмотря на это, Заявитель в составе своей заявки указал «О» в графе «товарный знак».</w:t>
      </w:r>
    </w:p>
    <w:p w:rsidR="00D01FA0" w:rsidRPr="00D01FA0" w:rsidRDefault="00D01FA0" w:rsidP="00D01FA0">
      <w:pPr>
        <w:spacing w:after="0" w:line="240" w:lineRule="auto"/>
        <w:ind w:firstLine="709"/>
        <w:jc w:val="both"/>
        <w:rPr>
          <w:sz w:val="26"/>
          <w:szCs w:val="26"/>
        </w:rPr>
      </w:pPr>
      <w:r w:rsidRPr="00D01FA0">
        <w:rPr>
          <w:sz w:val="26"/>
          <w:szCs w:val="26"/>
        </w:rPr>
        <w:t>Таким образом, Заявитель в заявке предоставил недостоверную информацию в отношении товарного знака.</w:t>
      </w:r>
    </w:p>
    <w:p w:rsidR="00D01FA0" w:rsidRPr="00D01FA0" w:rsidRDefault="00D01FA0" w:rsidP="00D01FA0">
      <w:pPr>
        <w:spacing w:after="0" w:line="240" w:lineRule="auto"/>
        <w:ind w:firstLine="709"/>
        <w:jc w:val="both"/>
        <w:rPr>
          <w:sz w:val="26"/>
          <w:szCs w:val="26"/>
        </w:rPr>
      </w:pPr>
      <w:r w:rsidRPr="00D01FA0">
        <w:rPr>
          <w:sz w:val="26"/>
          <w:szCs w:val="26"/>
        </w:rPr>
        <w:t>В действиях комиссии нарушений законодательства не установлено, жалоба признана необоснованной.</w:t>
      </w:r>
    </w:p>
    <w:p w:rsidR="00D01FA0" w:rsidRPr="00D01FA0" w:rsidRDefault="00D01FA0" w:rsidP="00D01FA0">
      <w:pPr>
        <w:spacing w:after="0" w:line="240" w:lineRule="auto"/>
        <w:ind w:firstLine="709"/>
        <w:jc w:val="both"/>
        <w:rPr>
          <w:sz w:val="26"/>
          <w:szCs w:val="26"/>
        </w:rPr>
      </w:pPr>
    </w:p>
    <w:p w:rsidR="00D01FA0" w:rsidRPr="0056666D" w:rsidRDefault="00D01FA0" w:rsidP="0056666D">
      <w:pPr>
        <w:spacing w:after="0" w:line="240" w:lineRule="auto"/>
        <w:ind w:firstLine="709"/>
        <w:jc w:val="both"/>
        <w:rPr>
          <w:sz w:val="26"/>
          <w:szCs w:val="26"/>
        </w:rPr>
      </w:pPr>
    </w:p>
    <w:p w:rsidR="0056666D" w:rsidRPr="0056666D" w:rsidRDefault="0056666D" w:rsidP="0056666D">
      <w:pPr>
        <w:spacing w:after="0" w:line="240" w:lineRule="auto"/>
        <w:ind w:firstLine="709"/>
        <w:jc w:val="both"/>
        <w:rPr>
          <w:sz w:val="26"/>
          <w:szCs w:val="26"/>
        </w:rPr>
      </w:pPr>
    </w:p>
    <w:p w:rsidR="0056666D" w:rsidRPr="0056666D" w:rsidRDefault="0056666D" w:rsidP="0056666D">
      <w:pPr>
        <w:spacing w:after="0" w:line="240" w:lineRule="auto"/>
        <w:ind w:firstLine="709"/>
        <w:jc w:val="both"/>
        <w:rPr>
          <w:sz w:val="26"/>
          <w:szCs w:val="26"/>
        </w:rPr>
      </w:pPr>
    </w:p>
    <w:p w:rsidR="0056666D" w:rsidRPr="0056666D" w:rsidRDefault="0056666D" w:rsidP="0056666D">
      <w:pPr>
        <w:spacing w:after="0" w:line="240" w:lineRule="auto"/>
        <w:ind w:firstLine="709"/>
        <w:jc w:val="both"/>
        <w:rPr>
          <w:sz w:val="26"/>
          <w:szCs w:val="26"/>
        </w:rPr>
      </w:pPr>
    </w:p>
    <w:p w:rsidR="0056666D" w:rsidRPr="005751FF" w:rsidRDefault="0056666D" w:rsidP="005751FF">
      <w:pPr>
        <w:spacing w:after="0" w:line="240" w:lineRule="auto"/>
        <w:ind w:firstLine="709"/>
        <w:jc w:val="both"/>
        <w:rPr>
          <w:sz w:val="26"/>
          <w:szCs w:val="26"/>
        </w:rPr>
      </w:pPr>
    </w:p>
    <w:p w:rsidR="005751FF" w:rsidRDefault="005751FF" w:rsidP="00EB5E78">
      <w:pPr>
        <w:spacing w:after="0" w:line="240" w:lineRule="auto"/>
        <w:ind w:firstLine="709"/>
        <w:jc w:val="both"/>
        <w:rPr>
          <w:sz w:val="26"/>
          <w:szCs w:val="26"/>
        </w:rPr>
      </w:pPr>
    </w:p>
    <w:p w:rsidR="00F24772" w:rsidRPr="00EB5E78" w:rsidRDefault="00F24772" w:rsidP="00EB5E78">
      <w:pPr>
        <w:spacing w:after="0" w:line="240" w:lineRule="auto"/>
        <w:ind w:firstLine="709"/>
        <w:jc w:val="both"/>
        <w:rPr>
          <w:sz w:val="26"/>
          <w:szCs w:val="26"/>
        </w:rPr>
      </w:pPr>
    </w:p>
    <w:sectPr w:rsidR="00F24772" w:rsidRPr="00EB5E78" w:rsidSect="00CF11D5">
      <w:headerReference w:type="default" r:id="rId8"/>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5B2" w:rsidRDefault="00AD05B2" w:rsidP="00CF11D5">
      <w:pPr>
        <w:spacing w:after="0" w:line="240" w:lineRule="auto"/>
      </w:pPr>
      <w:r>
        <w:separator/>
      </w:r>
    </w:p>
  </w:endnote>
  <w:endnote w:type="continuationSeparator" w:id="0">
    <w:p w:rsidR="00AD05B2" w:rsidRDefault="00AD05B2" w:rsidP="00CF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5B2" w:rsidRDefault="00AD05B2" w:rsidP="00CF11D5">
      <w:pPr>
        <w:spacing w:after="0" w:line="240" w:lineRule="auto"/>
      </w:pPr>
      <w:r>
        <w:separator/>
      </w:r>
    </w:p>
  </w:footnote>
  <w:footnote w:type="continuationSeparator" w:id="0">
    <w:p w:rsidR="00AD05B2" w:rsidRDefault="00AD05B2" w:rsidP="00CF11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4685631"/>
      <w:docPartObj>
        <w:docPartGallery w:val="Page Numbers (Top of Page)"/>
        <w:docPartUnique/>
      </w:docPartObj>
    </w:sdtPr>
    <w:sdtEndPr>
      <w:rPr>
        <w:sz w:val="26"/>
        <w:szCs w:val="26"/>
      </w:rPr>
    </w:sdtEndPr>
    <w:sdtContent>
      <w:p w:rsidR="00CF11D5" w:rsidRPr="00455B73" w:rsidRDefault="00CF11D5">
        <w:pPr>
          <w:pStyle w:val="a8"/>
          <w:jc w:val="center"/>
          <w:rPr>
            <w:sz w:val="26"/>
            <w:szCs w:val="26"/>
          </w:rPr>
        </w:pPr>
        <w:r w:rsidRPr="00455B73">
          <w:rPr>
            <w:sz w:val="26"/>
            <w:szCs w:val="26"/>
          </w:rPr>
          <w:fldChar w:fldCharType="begin"/>
        </w:r>
        <w:r w:rsidRPr="00455B73">
          <w:rPr>
            <w:sz w:val="26"/>
            <w:szCs w:val="26"/>
          </w:rPr>
          <w:instrText>PAGE   \* MERGEFORMAT</w:instrText>
        </w:r>
        <w:r w:rsidRPr="00455B73">
          <w:rPr>
            <w:sz w:val="26"/>
            <w:szCs w:val="26"/>
          </w:rPr>
          <w:fldChar w:fldCharType="separate"/>
        </w:r>
        <w:r w:rsidR="000D6F67">
          <w:rPr>
            <w:noProof/>
            <w:sz w:val="26"/>
            <w:szCs w:val="26"/>
          </w:rPr>
          <w:t>3</w:t>
        </w:r>
        <w:r w:rsidRPr="00455B73">
          <w:rPr>
            <w:sz w:val="26"/>
            <w:szCs w:val="26"/>
          </w:rPr>
          <w:fldChar w:fldCharType="end"/>
        </w:r>
      </w:p>
    </w:sdtContent>
  </w:sdt>
  <w:p w:rsidR="00CF11D5" w:rsidRDefault="00CF11D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66FA5"/>
    <w:multiLevelType w:val="hybridMultilevel"/>
    <w:tmpl w:val="C71271E6"/>
    <w:lvl w:ilvl="0" w:tplc="0419000B">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15:restartNumberingAfterBreak="0">
    <w:nsid w:val="258D5D10"/>
    <w:multiLevelType w:val="hybridMultilevel"/>
    <w:tmpl w:val="E6E0BBEE"/>
    <w:lvl w:ilvl="0" w:tplc="0419000B">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 w15:restartNumberingAfterBreak="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501289E"/>
    <w:multiLevelType w:val="hybridMultilevel"/>
    <w:tmpl w:val="F1CE1588"/>
    <w:lvl w:ilvl="0" w:tplc="37400D40">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58412A6"/>
    <w:multiLevelType w:val="hybridMultilevel"/>
    <w:tmpl w:val="E80CA522"/>
    <w:lvl w:ilvl="0" w:tplc="4380E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7D"/>
    <w:rsid w:val="00031075"/>
    <w:rsid w:val="0005630F"/>
    <w:rsid w:val="000632E4"/>
    <w:rsid w:val="00081918"/>
    <w:rsid w:val="000C7485"/>
    <w:rsid w:val="000D6F67"/>
    <w:rsid w:val="000E2F8E"/>
    <w:rsid w:val="000F13A8"/>
    <w:rsid w:val="00120C9D"/>
    <w:rsid w:val="00121848"/>
    <w:rsid w:val="00126256"/>
    <w:rsid w:val="0013682E"/>
    <w:rsid w:val="0018164F"/>
    <w:rsid w:val="001A34C2"/>
    <w:rsid w:val="001D5A7A"/>
    <w:rsid w:val="001F5455"/>
    <w:rsid w:val="002242A5"/>
    <w:rsid w:val="00264B23"/>
    <w:rsid w:val="00287610"/>
    <w:rsid w:val="002B3116"/>
    <w:rsid w:val="002B5192"/>
    <w:rsid w:val="002E3815"/>
    <w:rsid w:val="002F545B"/>
    <w:rsid w:val="003300C4"/>
    <w:rsid w:val="00341C38"/>
    <w:rsid w:val="0034329F"/>
    <w:rsid w:val="00344194"/>
    <w:rsid w:val="003643FE"/>
    <w:rsid w:val="003A3E96"/>
    <w:rsid w:val="003D4F9F"/>
    <w:rsid w:val="00402D1F"/>
    <w:rsid w:val="004208D6"/>
    <w:rsid w:val="004275C3"/>
    <w:rsid w:val="00452224"/>
    <w:rsid w:val="00455B73"/>
    <w:rsid w:val="00457299"/>
    <w:rsid w:val="00473832"/>
    <w:rsid w:val="004A51F4"/>
    <w:rsid w:val="004B623C"/>
    <w:rsid w:val="004C3D44"/>
    <w:rsid w:val="00500832"/>
    <w:rsid w:val="00514F02"/>
    <w:rsid w:val="005167CA"/>
    <w:rsid w:val="0056666D"/>
    <w:rsid w:val="00573DCE"/>
    <w:rsid w:val="005751FF"/>
    <w:rsid w:val="00577134"/>
    <w:rsid w:val="005D367F"/>
    <w:rsid w:val="005E0FB9"/>
    <w:rsid w:val="00601BB8"/>
    <w:rsid w:val="0061285F"/>
    <w:rsid w:val="006360E0"/>
    <w:rsid w:val="00681D71"/>
    <w:rsid w:val="006A34A2"/>
    <w:rsid w:val="006B526D"/>
    <w:rsid w:val="006C6BF5"/>
    <w:rsid w:val="006D14B9"/>
    <w:rsid w:val="006F4D4E"/>
    <w:rsid w:val="00706B66"/>
    <w:rsid w:val="00743F1D"/>
    <w:rsid w:val="0074770A"/>
    <w:rsid w:val="00781201"/>
    <w:rsid w:val="00797D1A"/>
    <w:rsid w:val="007A38F3"/>
    <w:rsid w:val="007C649C"/>
    <w:rsid w:val="007E3C84"/>
    <w:rsid w:val="007E7F9F"/>
    <w:rsid w:val="0086763E"/>
    <w:rsid w:val="00875C2D"/>
    <w:rsid w:val="00880596"/>
    <w:rsid w:val="00881011"/>
    <w:rsid w:val="008829BF"/>
    <w:rsid w:val="0089292F"/>
    <w:rsid w:val="008C5495"/>
    <w:rsid w:val="008D01FA"/>
    <w:rsid w:val="00907F15"/>
    <w:rsid w:val="009248EF"/>
    <w:rsid w:val="00936DFE"/>
    <w:rsid w:val="0095141C"/>
    <w:rsid w:val="009570E5"/>
    <w:rsid w:val="00987418"/>
    <w:rsid w:val="00A222B7"/>
    <w:rsid w:val="00A33294"/>
    <w:rsid w:val="00A47BCD"/>
    <w:rsid w:val="00A62796"/>
    <w:rsid w:val="00A7343E"/>
    <w:rsid w:val="00AD05B2"/>
    <w:rsid w:val="00B0619C"/>
    <w:rsid w:val="00B0757D"/>
    <w:rsid w:val="00B37E52"/>
    <w:rsid w:val="00B46D69"/>
    <w:rsid w:val="00B52CE4"/>
    <w:rsid w:val="00B736A2"/>
    <w:rsid w:val="00BC7149"/>
    <w:rsid w:val="00C158E6"/>
    <w:rsid w:val="00C57695"/>
    <w:rsid w:val="00C82F08"/>
    <w:rsid w:val="00C83FD9"/>
    <w:rsid w:val="00C92BE8"/>
    <w:rsid w:val="00CF11D5"/>
    <w:rsid w:val="00D0173A"/>
    <w:rsid w:val="00D01FA0"/>
    <w:rsid w:val="00D077B1"/>
    <w:rsid w:val="00D144DE"/>
    <w:rsid w:val="00D3387E"/>
    <w:rsid w:val="00D50C39"/>
    <w:rsid w:val="00D723DD"/>
    <w:rsid w:val="00DA0D3C"/>
    <w:rsid w:val="00DB1A87"/>
    <w:rsid w:val="00DE73F5"/>
    <w:rsid w:val="00DF0BE7"/>
    <w:rsid w:val="00E32DC2"/>
    <w:rsid w:val="00E3613E"/>
    <w:rsid w:val="00E45E31"/>
    <w:rsid w:val="00E649A9"/>
    <w:rsid w:val="00EB5E78"/>
    <w:rsid w:val="00EC4F4B"/>
    <w:rsid w:val="00ED421A"/>
    <w:rsid w:val="00EF02C0"/>
    <w:rsid w:val="00F00C91"/>
    <w:rsid w:val="00F01FAB"/>
    <w:rsid w:val="00F061FA"/>
    <w:rsid w:val="00F115A5"/>
    <w:rsid w:val="00F24772"/>
    <w:rsid w:val="00F30AB3"/>
    <w:rsid w:val="00FB6C9B"/>
    <w:rsid w:val="00FD6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78D7892-1BC1-4C20-ACC3-E5FE5BC3B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13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F1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F13A8"/>
    <w:pPr>
      <w:ind w:left="720"/>
      <w:contextualSpacing/>
    </w:pPr>
  </w:style>
  <w:style w:type="paragraph" w:styleId="a5">
    <w:name w:val="Balloon Text"/>
    <w:basedOn w:val="a"/>
    <w:link w:val="a6"/>
    <w:uiPriority w:val="99"/>
    <w:semiHidden/>
    <w:unhideWhenUsed/>
    <w:rsid w:val="006A34A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A34A2"/>
    <w:rPr>
      <w:rFonts w:ascii="Segoe UI" w:hAnsi="Segoe UI" w:cs="Segoe UI"/>
      <w:sz w:val="18"/>
      <w:szCs w:val="18"/>
    </w:rPr>
  </w:style>
  <w:style w:type="paragraph" w:styleId="a7">
    <w:name w:val="Normal (Web)"/>
    <w:basedOn w:val="a"/>
    <w:uiPriority w:val="99"/>
    <w:unhideWhenUsed/>
    <w:rsid w:val="00A332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CF11D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F11D5"/>
  </w:style>
  <w:style w:type="paragraph" w:styleId="aa">
    <w:name w:val="footer"/>
    <w:basedOn w:val="a"/>
    <w:link w:val="ab"/>
    <w:uiPriority w:val="99"/>
    <w:unhideWhenUsed/>
    <w:rsid w:val="00CF11D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F11D5"/>
  </w:style>
  <w:style w:type="character" w:styleId="ac">
    <w:name w:val="Hyperlink"/>
    <w:basedOn w:val="a0"/>
    <w:uiPriority w:val="99"/>
    <w:unhideWhenUsed/>
    <w:rsid w:val="00F247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8910">
      <w:bodyDiv w:val="1"/>
      <w:marLeft w:val="0"/>
      <w:marRight w:val="0"/>
      <w:marTop w:val="0"/>
      <w:marBottom w:val="0"/>
      <w:divBdr>
        <w:top w:val="none" w:sz="0" w:space="0" w:color="auto"/>
        <w:left w:val="none" w:sz="0" w:space="0" w:color="auto"/>
        <w:bottom w:val="none" w:sz="0" w:space="0" w:color="auto"/>
        <w:right w:val="none" w:sz="0" w:space="0" w:color="auto"/>
      </w:divBdr>
    </w:div>
    <w:div w:id="167864907">
      <w:bodyDiv w:val="1"/>
      <w:marLeft w:val="0"/>
      <w:marRight w:val="0"/>
      <w:marTop w:val="0"/>
      <w:marBottom w:val="0"/>
      <w:divBdr>
        <w:top w:val="none" w:sz="0" w:space="0" w:color="auto"/>
        <w:left w:val="none" w:sz="0" w:space="0" w:color="auto"/>
        <w:bottom w:val="none" w:sz="0" w:space="0" w:color="auto"/>
        <w:right w:val="none" w:sz="0" w:space="0" w:color="auto"/>
      </w:divBdr>
    </w:div>
    <w:div w:id="419330409">
      <w:bodyDiv w:val="1"/>
      <w:marLeft w:val="0"/>
      <w:marRight w:val="0"/>
      <w:marTop w:val="0"/>
      <w:marBottom w:val="0"/>
      <w:divBdr>
        <w:top w:val="none" w:sz="0" w:space="0" w:color="auto"/>
        <w:left w:val="none" w:sz="0" w:space="0" w:color="auto"/>
        <w:bottom w:val="none" w:sz="0" w:space="0" w:color="auto"/>
        <w:right w:val="none" w:sz="0" w:space="0" w:color="auto"/>
      </w:divBdr>
    </w:div>
    <w:div w:id="515197714">
      <w:bodyDiv w:val="1"/>
      <w:marLeft w:val="0"/>
      <w:marRight w:val="0"/>
      <w:marTop w:val="0"/>
      <w:marBottom w:val="0"/>
      <w:divBdr>
        <w:top w:val="none" w:sz="0" w:space="0" w:color="auto"/>
        <w:left w:val="none" w:sz="0" w:space="0" w:color="auto"/>
        <w:bottom w:val="none" w:sz="0" w:space="0" w:color="auto"/>
        <w:right w:val="none" w:sz="0" w:space="0" w:color="auto"/>
      </w:divBdr>
    </w:div>
    <w:div w:id="1184244769">
      <w:bodyDiv w:val="1"/>
      <w:marLeft w:val="0"/>
      <w:marRight w:val="0"/>
      <w:marTop w:val="0"/>
      <w:marBottom w:val="0"/>
      <w:divBdr>
        <w:top w:val="none" w:sz="0" w:space="0" w:color="auto"/>
        <w:left w:val="none" w:sz="0" w:space="0" w:color="auto"/>
        <w:bottom w:val="none" w:sz="0" w:space="0" w:color="auto"/>
        <w:right w:val="none" w:sz="0" w:space="0" w:color="auto"/>
      </w:divBdr>
    </w:div>
    <w:div w:id="1345203672">
      <w:bodyDiv w:val="1"/>
      <w:marLeft w:val="0"/>
      <w:marRight w:val="0"/>
      <w:marTop w:val="0"/>
      <w:marBottom w:val="0"/>
      <w:divBdr>
        <w:top w:val="none" w:sz="0" w:space="0" w:color="auto"/>
        <w:left w:val="none" w:sz="0" w:space="0" w:color="auto"/>
        <w:bottom w:val="none" w:sz="0" w:space="0" w:color="auto"/>
        <w:right w:val="none" w:sz="0" w:space="0" w:color="auto"/>
      </w:divBdr>
    </w:div>
    <w:div w:id="1430929897">
      <w:bodyDiv w:val="1"/>
      <w:marLeft w:val="0"/>
      <w:marRight w:val="0"/>
      <w:marTop w:val="0"/>
      <w:marBottom w:val="0"/>
      <w:divBdr>
        <w:top w:val="none" w:sz="0" w:space="0" w:color="auto"/>
        <w:left w:val="none" w:sz="0" w:space="0" w:color="auto"/>
        <w:bottom w:val="none" w:sz="0" w:space="0" w:color="auto"/>
        <w:right w:val="none" w:sz="0" w:space="0" w:color="auto"/>
      </w:divBdr>
    </w:div>
    <w:div w:id="169319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gulation.gov.ru/projects/1612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7</Pages>
  <Words>3022</Words>
  <Characters>17226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Злата Истомина</cp:lastModifiedBy>
  <cp:revision>34</cp:revision>
  <cp:lastPrinted>2025-09-26T03:12:00Z</cp:lastPrinted>
  <dcterms:created xsi:type="dcterms:W3CDTF">2025-09-22T05:06:00Z</dcterms:created>
  <dcterms:modified xsi:type="dcterms:W3CDTF">2025-10-21T02:47:00Z</dcterms:modified>
</cp:coreProperties>
</file>