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0D36" w:rsidRDefault="00B30D36" w:rsidP="00B30D36">
      <w:pPr>
        <w:spacing w:after="120" w:line="240" w:lineRule="auto"/>
        <w:ind w:firstLine="709"/>
        <w:jc w:val="both"/>
        <w:rPr>
          <w:b/>
          <w:sz w:val="24"/>
          <w:szCs w:val="24"/>
        </w:rPr>
      </w:pPr>
      <w:r w:rsidRPr="00C45199">
        <w:rPr>
          <w:b/>
          <w:sz w:val="24"/>
          <w:szCs w:val="24"/>
        </w:rPr>
        <w:t>МОНИТОРИНГ</w:t>
      </w:r>
      <w:r>
        <w:rPr>
          <w:b/>
          <w:sz w:val="24"/>
          <w:szCs w:val="24"/>
        </w:rPr>
        <w:t xml:space="preserve"> на 17.11.2025</w:t>
      </w:r>
    </w:p>
    <w:tbl>
      <w:tblPr>
        <w:tblStyle w:val="a3"/>
        <w:tblW w:w="10064" w:type="dxa"/>
        <w:tblInd w:w="-6" w:type="dxa"/>
        <w:tblLook w:val="04A0" w:firstRow="1" w:lastRow="0" w:firstColumn="1" w:lastColumn="0" w:noHBand="0" w:noVBand="1"/>
      </w:tblPr>
      <w:tblGrid>
        <w:gridCol w:w="3970"/>
        <w:gridCol w:w="6094"/>
      </w:tblGrid>
      <w:tr w:rsidR="00047614" w:rsidRPr="00C45199" w:rsidTr="00685B26">
        <w:trPr>
          <w:trHeight w:val="164"/>
        </w:trPr>
        <w:tc>
          <w:tcPr>
            <w:tcW w:w="10064" w:type="dxa"/>
            <w:gridSpan w:val="2"/>
          </w:tcPr>
          <w:p w:rsidR="00047614" w:rsidRDefault="000D114D" w:rsidP="00685B26">
            <w:pPr>
              <w:pStyle w:val="a4"/>
              <w:numPr>
                <w:ilvl w:val="0"/>
                <w:numId w:val="1"/>
              </w:numPr>
              <w:ind w:left="602" w:hanging="602"/>
              <w:jc w:val="both"/>
              <w:rPr>
                <w:b/>
                <w:sz w:val="26"/>
                <w:szCs w:val="26"/>
                <w:shd w:val="clear" w:color="auto" w:fill="FFFFFF"/>
              </w:rPr>
            </w:pPr>
            <w:r>
              <w:rPr>
                <w:b/>
                <w:sz w:val="26"/>
                <w:szCs w:val="26"/>
                <w:shd w:val="clear" w:color="auto" w:fill="FFFFFF"/>
              </w:rPr>
              <w:t>Постановление Правительства РФ от 14.11.2025</w:t>
            </w:r>
            <w:r w:rsidR="00047614">
              <w:rPr>
                <w:b/>
                <w:sz w:val="26"/>
                <w:szCs w:val="26"/>
                <w:shd w:val="clear" w:color="auto" w:fill="FFFFFF"/>
              </w:rPr>
              <w:t xml:space="preserve"> № 1</w:t>
            </w:r>
            <w:r>
              <w:rPr>
                <w:b/>
                <w:sz w:val="26"/>
                <w:szCs w:val="26"/>
                <w:shd w:val="clear" w:color="auto" w:fill="FFFFFF"/>
              </w:rPr>
              <w:t>799</w:t>
            </w:r>
          </w:p>
        </w:tc>
      </w:tr>
      <w:tr w:rsidR="00047614" w:rsidRPr="00C45199" w:rsidTr="00685B26">
        <w:trPr>
          <w:trHeight w:val="164"/>
        </w:trPr>
        <w:tc>
          <w:tcPr>
            <w:tcW w:w="10064" w:type="dxa"/>
            <w:gridSpan w:val="2"/>
          </w:tcPr>
          <w:p w:rsidR="00047614" w:rsidRPr="004F0025" w:rsidRDefault="004F0025" w:rsidP="004F0025">
            <w:pPr>
              <w:ind w:firstLine="602"/>
              <w:jc w:val="both"/>
              <w:rPr>
                <w:sz w:val="26"/>
                <w:szCs w:val="26"/>
                <w:shd w:val="clear" w:color="auto" w:fill="FFFFFF"/>
              </w:rPr>
            </w:pPr>
            <w:r w:rsidRPr="004F0025">
              <w:rPr>
                <w:sz w:val="26"/>
                <w:szCs w:val="26"/>
                <w:shd w:val="clear" w:color="auto" w:fill="FFFFFF"/>
              </w:rPr>
              <w:t>Скорректированы типовые условия контрактов на выполнение авиационных работ в целях оказания медицинской помощи</w:t>
            </w:r>
          </w:p>
        </w:tc>
      </w:tr>
      <w:tr w:rsidR="00047614" w:rsidRPr="00C45199" w:rsidTr="00685B26">
        <w:trPr>
          <w:trHeight w:val="164"/>
        </w:trPr>
        <w:tc>
          <w:tcPr>
            <w:tcW w:w="10064" w:type="dxa"/>
            <w:gridSpan w:val="2"/>
          </w:tcPr>
          <w:p w:rsidR="00047614" w:rsidRDefault="004F0025" w:rsidP="00685B26">
            <w:pPr>
              <w:pStyle w:val="a4"/>
              <w:numPr>
                <w:ilvl w:val="0"/>
                <w:numId w:val="1"/>
              </w:numPr>
              <w:ind w:left="602" w:hanging="602"/>
              <w:jc w:val="both"/>
              <w:rPr>
                <w:b/>
                <w:sz w:val="26"/>
                <w:szCs w:val="26"/>
                <w:shd w:val="clear" w:color="auto" w:fill="FFFFFF"/>
              </w:rPr>
            </w:pPr>
            <w:r>
              <w:rPr>
                <w:b/>
                <w:sz w:val="26"/>
                <w:szCs w:val="26"/>
                <w:shd w:val="clear" w:color="auto" w:fill="FFFFFF"/>
              </w:rPr>
              <w:t>Письмо Минфина России от 17.10.2025 № 24-06-09/100680</w:t>
            </w:r>
          </w:p>
        </w:tc>
      </w:tr>
      <w:tr w:rsidR="00047614" w:rsidRPr="00C45199" w:rsidTr="00685B26">
        <w:trPr>
          <w:trHeight w:val="164"/>
        </w:trPr>
        <w:tc>
          <w:tcPr>
            <w:tcW w:w="10064" w:type="dxa"/>
            <w:gridSpan w:val="2"/>
          </w:tcPr>
          <w:p w:rsidR="00047614" w:rsidRPr="004F0025" w:rsidRDefault="004F0025" w:rsidP="004F0025">
            <w:pPr>
              <w:ind w:firstLine="602"/>
              <w:jc w:val="both"/>
              <w:rPr>
                <w:sz w:val="26"/>
                <w:szCs w:val="26"/>
                <w:shd w:val="clear" w:color="auto" w:fill="FFFFFF"/>
              </w:rPr>
            </w:pPr>
            <w:r w:rsidRPr="004F0025">
              <w:rPr>
                <w:sz w:val="26"/>
                <w:szCs w:val="26"/>
                <w:shd w:val="clear" w:color="auto" w:fill="FFFFFF"/>
              </w:rPr>
              <w:t>Минфин России разъяснил порядок рассмотрения заявок при закупках радиоэлектронной продукции с установленными уровнями</w:t>
            </w:r>
          </w:p>
        </w:tc>
      </w:tr>
      <w:tr w:rsidR="00047614" w:rsidRPr="00C45199" w:rsidTr="00685B26">
        <w:trPr>
          <w:trHeight w:val="164"/>
        </w:trPr>
        <w:tc>
          <w:tcPr>
            <w:tcW w:w="10064" w:type="dxa"/>
            <w:gridSpan w:val="2"/>
          </w:tcPr>
          <w:p w:rsidR="00047614" w:rsidRDefault="00DF024F" w:rsidP="00685B26">
            <w:pPr>
              <w:pStyle w:val="a4"/>
              <w:numPr>
                <w:ilvl w:val="0"/>
                <w:numId w:val="1"/>
              </w:numPr>
              <w:ind w:left="602" w:hanging="602"/>
              <w:jc w:val="both"/>
              <w:rPr>
                <w:b/>
                <w:sz w:val="26"/>
                <w:szCs w:val="26"/>
                <w:shd w:val="clear" w:color="auto" w:fill="FFFFFF"/>
              </w:rPr>
            </w:pPr>
            <w:r>
              <w:rPr>
                <w:b/>
                <w:sz w:val="26"/>
                <w:szCs w:val="26"/>
                <w:shd w:val="clear" w:color="auto" w:fill="FFFFFF"/>
              </w:rPr>
              <w:t>Письмо ФАС России от 06.11.2025 № СП/104709/25</w:t>
            </w:r>
          </w:p>
        </w:tc>
      </w:tr>
      <w:tr w:rsidR="00047614" w:rsidRPr="00C45199" w:rsidTr="00685B26">
        <w:trPr>
          <w:trHeight w:val="164"/>
        </w:trPr>
        <w:tc>
          <w:tcPr>
            <w:tcW w:w="10064" w:type="dxa"/>
            <w:gridSpan w:val="2"/>
          </w:tcPr>
          <w:p w:rsidR="00047614" w:rsidRPr="00DF024F" w:rsidRDefault="00DF024F" w:rsidP="00DF024F">
            <w:pPr>
              <w:ind w:firstLine="602"/>
              <w:jc w:val="both"/>
              <w:rPr>
                <w:sz w:val="26"/>
                <w:szCs w:val="26"/>
                <w:shd w:val="clear" w:color="auto" w:fill="FFFFFF"/>
              </w:rPr>
            </w:pPr>
            <w:r w:rsidRPr="00DF024F">
              <w:rPr>
                <w:sz w:val="26"/>
                <w:szCs w:val="26"/>
                <w:shd w:val="clear" w:color="auto" w:fill="FFFFFF"/>
              </w:rPr>
              <w:t>ФАС России разъяснила, что при определении начальной (максимальной) цены контракта на поставку моторного масла заказчик вправе включать в расчет стоимость транспортировки топлива до места нахождения емкости заказчика</w:t>
            </w:r>
          </w:p>
        </w:tc>
      </w:tr>
      <w:tr w:rsidR="00B30D36" w:rsidRPr="00C45199" w:rsidTr="00685B26">
        <w:trPr>
          <w:trHeight w:val="164"/>
        </w:trPr>
        <w:tc>
          <w:tcPr>
            <w:tcW w:w="10064" w:type="dxa"/>
            <w:gridSpan w:val="2"/>
          </w:tcPr>
          <w:p w:rsidR="00B30D36" w:rsidRPr="00EA36AE" w:rsidRDefault="00B30D36" w:rsidP="00685B26">
            <w:pPr>
              <w:pStyle w:val="a4"/>
              <w:numPr>
                <w:ilvl w:val="0"/>
                <w:numId w:val="1"/>
              </w:numPr>
              <w:ind w:left="602" w:hanging="602"/>
              <w:jc w:val="both"/>
              <w:rPr>
                <w:b/>
                <w:sz w:val="26"/>
                <w:szCs w:val="26"/>
              </w:rPr>
            </w:pPr>
            <w:r>
              <w:rPr>
                <w:b/>
                <w:sz w:val="26"/>
                <w:szCs w:val="26"/>
                <w:shd w:val="clear" w:color="auto" w:fill="FFFFFF"/>
              </w:rPr>
              <w:t xml:space="preserve">Судебная </w:t>
            </w:r>
            <w:r w:rsidRPr="00EA36AE">
              <w:rPr>
                <w:b/>
                <w:sz w:val="26"/>
                <w:szCs w:val="26"/>
                <w:shd w:val="clear" w:color="auto" w:fill="FFFFFF"/>
              </w:rPr>
              <w:t>практика</w:t>
            </w:r>
          </w:p>
        </w:tc>
      </w:tr>
      <w:tr w:rsidR="00B30D36" w:rsidRPr="00C45199" w:rsidTr="00685B26">
        <w:trPr>
          <w:trHeight w:val="70"/>
        </w:trPr>
        <w:tc>
          <w:tcPr>
            <w:tcW w:w="3970" w:type="dxa"/>
          </w:tcPr>
          <w:p w:rsidR="00B30D36" w:rsidRPr="00780020" w:rsidRDefault="00B30D36" w:rsidP="00685B26">
            <w:pPr>
              <w:jc w:val="both"/>
              <w:rPr>
                <w:i/>
                <w:sz w:val="26"/>
                <w:szCs w:val="26"/>
                <w:highlight w:val="yellow"/>
              </w:rPr>
            </w:pPr>
            <w:r>
              <w:rPr>
                <w:i/>
                <w:sz w:val="26"/>
                <w:szCs w:val="26"/>
              </w:rPr>
              <w:t>Определение Верховного суда Российской Федерации от 05.11.2025 № 308-ЭС25-10662 по делу № А63-12956/2024</w:t>
            </w:r>
          </w:p>
        </w:tc>
        <w:tc>
          <w:tcPr>
            <w:tcW w:w="6094" w:type="dxa"/>
          </w:tcPr>
          <w:p w:rsidR="00277064" w:rsidRPr="00277064" w:rsidRDefault="00277064" w:rsidP="00277064">
            <w:pPr>
              <w:rPr>
                <w:sz w:val="26"/>
                <w:szCs w:val="26"/>
                <w:highlight w:val="yellow"/>
              </w:rPr>
            </w:pPr>
            <w:r>
              <w:rPr>
                <w:sz w:val="26"/>
                <w:szCs w:val="26"/>
              </w:rPr>
              <w:t>Дробление</w:t>
            </w:r>
            <w:r w:rsidRPr="00277064">
              <w:rPr>
                <w:sz w:val="26"/>
                <w:szCs w:val="26"/>
              </w:rPr>
              <w:t xml:space="preserve"> крупной сделки на мелкие, формально соответствующие законодательству, </w:t>
            </w:r>
            <w:r>
              <w:rPr>
                <w:sz w:val="26"/>
                <w:szCs w:val="26"/>
              </w:rPr>
              <w:t xml:space="preserve">признается ограничением конкуренции и нарушением Закона </w:t>
            </w:r>
            <w:r>
              <w:rPr>
                <w:sz w:val="26"/>
                <w:szCs w:val="26"/>
              </w:rPr>
              <w:br/>
            </w:r>
            <w:r w:rsidR="00D75BA0">
              <w:rPr>
                <w:sz w:val="26"/>
                <w:szCs w:val="26"/>
              </w:rPr>
              <w:t>№ 44-ФЗ</w:t>
            </w:r>
          </w:p>
        </w:tc>
      </w:tr>
    </w:tbl>
    <w:p w:rsidR="00B30D36" w:rsidRDefault="00B30D36" w:rsidP="00B30D36">
      <w:pPr>
        <w:spacing w:after="0" w:line="240" w:lineRule="auto"/>
        <w:jc w:val="both"/>
        <w:rPr>
          <w:i/>
          <w:sz w:val="26"/>
          <w:szCs w:val="26"/>
        </w:rPr>
      </w:pPr>
    </w:p>
    <w:p w:rsidR="000D114D" w:rsidRDefault="000D114D" w:rsidP="00B30D36">
      <w:pPr>
        <w:spacing w:after="0" w:line="240" w:lineRule="auto"/>
        <w:ind w:firstLine="709"/>
        <w:jc w:val="both"/>
        <w:rPr>
          <w:i/>
          <w:sz w:val="26"/>
          <w:szCs w:val="26"/>
        </w:rPr>
      </w:pPr>
      <w:r>
        <w:rPr>
          <w:i/>
          <w:sz w:val="26"/>
          <w:szCs w:val="26"/>
        </w:rPr>
        <w:t>Постановление Правительства Российской Федерации от 14.11.2025 № 1799 «О внесении изменения в Постановление Правительства Российской Федерации от 14 ноября 2024 г. № 1550»</w:t>
      </w:r>
    </w:p>
    <w:p w:rsidR="005D1778" w:rsidRPr="00F512C4" w:rsidRDefault="005D1778" w:rsidP="00F512C4">
      <w:pPr>
        <w:pStyle w:val="a5"/>
        <w:spacing w:before="0" w:beforeAutospacing="0" w:after="0" w:afterAutospacing="0" w:line="288" w:lineRule="atLeast"/>
        <w:ind w:firstLine="540"/>
        <w:jc w:val="both"/>
        <w:rPr>
          <w:rFonts w:ascii="PT Astra Serif" w:hAnsi="PT Astra Serif"/>
          <w:sz w:val="26"/>
          <w:szCs w:val="26"/>
        </w:rPr>
      </w:pPr>
      <w:r>
        <w:rPr>
          <w:sz w:val="26"/>
          <w:szCs w:val="26"/>
        </w:rPr>
        <w:t>Внесены изменения в пункт 25 Постановления Правительства Российской Федерации от 14 ноября 2024 г. № 1550</w:t>
      </w:r>
      <w:r w:rsidR="00F512C4">
        <w:rPr>
          <w:sz w:val="26"/>
          <w:szCs w:val="26"/>
        </w:rPr>
        <w:t xml:space="preserve"> </w:t>
      </w:r>
      <w:r w:rsidR="00F512C4" w:rsidRPr="00F512C4">
        <w:rPr>
          <w:rFonts w:ascii="PT Astra Serif" w:hAnsi="PT Astra Serif"/>
          <w:sz w:val="26"/>
          <w:szCs w:val="26"/>
        </w:rPr>
        <w:t>«Об утверждении типовых условий контрактов на выполнение авиационных работ в целях оказания медицинской помощи на территории Российской Федерации»</w:t>
      </w:r>
      <w:r w:rsidRPr="00F512C4">
        <w:rPr>
          <w:rFonts w:ascii="PT Astra Serif" w:hAnsi="PT Astra Serif"/>
          <w:sz w:val="26"/>
          <w:szCs w:val="26"/>
        </w:rPr>
        <w:t>.</w:t>
      </w:r>
      <w:r>
        <w:rPr>
          <w:sz w:val="26"/>
          <w:szCs w:val="26"/>
        </w:rPr>
        <w:t xml:space="preserve"> Пункт изложен в следующей редакции:</w:t>
      </w:r>
    </w:p>
    <w:p w:rsidR="005D1778" w:rsidRDefault="005D1778" w:rsidP="005D1778">
      <w:pPr>
        <w:pStyle w:val="a5"/>
        <w:spacing w:before="0" w:beforeAutospacing="0" w:after="0" w:afterAutospacing="0" w:line="288" w:lineRule="atLeast"/>
        <w:ind w:firstLine="540"/>
        <w:jc w:val="both"/>
        <w:rPr>
          <w:rFonts w:ascii="PT Astra Serif" w:hAnsi="PT Astra Serif"/>
          <w:sz w:val="26"/>
          <w:szCs w:val="26"/>
        </w:rPr>
      </w:pPr>
      <w:r w:rsidRPr="005D1778">
        <w:rPr>
          <w:rFonts w:ascii="PT Astra Serif" w:hAnsi="PT Astra Serif"/>
          <w:sz w:val="26"/>
          <w:szCs w:val="26"/>
        </w:rPr>
        <w:t>Обеспечивать в отношении медицинских изделий (оборудования) в случае их предоставления исполнителем для выполнения работ соблюдение требований в сфере обращения медицинских изделий (оборудования) (в том числе при необходимости обеспечивать выполнение технического обслуживания медицинских изделий (оборудования), поверки медицинских изделий (оборудования), мониторинга безопасности медицинских изделий (оборудования), а также пополнение медицинских расходных материалов, предоставленных исполнителем, в случае их использования при выполнении работ, предусмотренных абзацем вторым пункта 1 настоящих типовых условий, если иное не предусмотрено контрактом.</w:t>
      </w:r>
    </w:p>
    <w:p w:rsidR="0090261C" w:rsidRDefault="0090261C" w:rsidP="005D1778">
      <w:pPr>
        <w:pStyle w:val="a5"/>
        <w:spacing w:before="0" w:beforeAutospacing="0" w:after="0" w:afterAutospacing="0" w:line="288" w:lineRule="atLeast"/>
        <w:ind w:firstLine="540"/>
        <w:jc w:val="both"/>
        <w:rPr>
          <w:rFonts w:ascii="PT Astra Serif" w:hAnsi="PT Astra Serif"/>
          <w:sz w:val="26"/>
          <w:szCs w:val="26"/>
        </w:rPr>
      </w:pPr>
      <w:r>
        <w:rPr>
          <w:rFonts w:ascii="PT Astra Serif" w:hAnsi="PT Astra Serif"/>
          <w:sz w:val="26"/>
          <w:szCs w:val="26"/>
        </w:rPr>
        <w:t>Вступило в силу с 14.11.2025.</w:t>
      </w:r>
      <w:bookmarkStart w:id="0" w:name="_GoBack"/>
      <w:bookmarkEnd w:id="0"/>
    </w:p>
    <w:p w:rsidR="00AB1F09" w:rsidRDefault="00AB1F09" w:rsidP="005D1778">
      <w:pPr>
        <w:pStyle w:val="a5"/>
        <w:spacing w:before="0" w:beforeAutospacing="0" w:after="0" w:afterAutospacing="0" w:line="288" w:lineRule="atLeast"/>
        <w:ind w:firstLine="540"/>
        <w:jc w:val="both"/>
        <w:rPr>
          <w:rFonts w:ascii="PT Astra Serif" w:hAnsi="PT Astra Serif"/>
          <w:sz w:val="26"/>
          <w:szCs w:val="26"/>
        </w:rPr>
      </w:pPr>
    </w:p>
    <w:p w:rsidR="00AB1F09" w:rsidRDefault="00AB1F09" w:rsidP="005D1778">
      <w:pPr>
        <w:pStyle w:val="a5"/>
        <w:spacing w:before="0" w:beforeAutospacing="0" w:after="0" w:afterAutospacing="0" w:line="288" w:lineRule="atLeast"/>
        <w:ind w:firstLine="540"/>
        <w:jc w:val="both"/>
        <w:rPr>
          <w:rFonts w:ascii="PT Astra Serif" w:hAnsi="PT Astra Serif"/>
          <w:i/>
          <w:sz w:val="26"/>
          <w:szCs w:val="26"/>
        </w:rPr>
      </w:pPr>
      <w:r w:rsidRPr="00AB1F09">
        <w:rPr>
          <w:rFonts w:ascii="PT Astra Serif" w:hAnsi="PT Astra Serif"/>
          <w:i/>
          <w:sz w:val="26"/>
          <w:szCs w:val="26"/>
        </w:rPr>
        <w:t>Письмо Минфина России от 17.10.2025 № 24-06-09/100680 «О рассмотрении обращения»</w:t>
      </w:r>
    </w:p>
    <w:p w:rsidR="00AB1F09" w:rsidRDefault="00AB1F09" w:rsidP="005D1778">
      <w:pPr>
        <w:pStyle w:val="a5"/>
        <w:spacing w:before="0" w:beforeAutospacing="0" w:after="0" w:afterAutospacing="0" w:line="288" w:lineRule="atLeast"/>
        <w:ind w:firstLine="540"/>
        <w:jc w:val="both"/>
        <w:rPr>
          <w:sz w:val="26"/>
          <w:szCs w:val="26"/>
          <w:shd w:val="clear" w:color="auto" w:fill="FFFFFF"/>
        </w:rPr>
      </w:pPr>
      <w:r w:rsidRPr="004F0025">
        <w:rPr>
          <w:sz w:val="26"/>
          <w:szCs w:val="26"/>
          <w:shd w:val="clear" w:color="auto" w:fill="FFFFFF"/>
        </w:rPr>
        <w:t>Минфин России разъяснил порядок рассмотрения заявок при закупках радиоэлектронной продукции с установленными уровнями</w:t>
      </w:r>
      <w:r>
        <w:rPr>
          <w:sz w:val="26"/>
          <w:szCs w:val="26"/>
          <w:shd w:val="clear" w:color="auto" w:fill="FFFFFF"/>
        </w:rPr>
        <w:t>.</w:t>
      </w:r>
    </w:p>
    <w:p w:rsidR="00AB1F09" w:rsidRDefault="00AB1F09" w:rsidP="005D1778">
      <w:pPr>
        <w:pStyle w:val="a5"/>
        <w:spacing w:before="0" w:beforeAutospacing="0" w:after="0" w:afterAutospacing="0" w:line="288" w:lineRule="atLeast"/>
        <w:ind w:firstLine="540"/>
        <w:jc w:val="both"/>
        <w:rPr>
          <w:rFonts w:ascii="PT Astra Serif" w:hAnsi="PT Astra Serif"/>
          <w:sz w:val="26"/>
          <w:szCs w:val="26"/>
        </w:rPr>
      </w:pPr>
      <w:r>
        <w:rPr>
          <w:rFonts w:ascii="PT Astra Serif" w:hAnsi="PT Astra Serif"/>
          <w:sz w:val="26"/>
          <w:szCs w:val="26"/>
        </w:rPr>
        <w:t>Согласно подпункту «а»</w:t>
      </w:r>
      <w:r w:rsidRPr="00AB1F09">
        <w:rPr>
          <w:rFonts w:ascii="PT Astra Serif" w:hAnsi="PT Astra Serif"/>
          <w:sz w:val="26"/>
          <w:szCs w:val="26"/>
        </w:rPr>
        <w:t xml:space="preserve"> пункта 3 Постановления № 1875 подтверждением происхождения товаров, указанных в позициях 1–433 приложения № 2 к Постановлению </w:t>
      </w:r>
      <w:r w:rsidR="00805328">
        <w:rPr>
          <w:rFonts w:ascii="PT Astra Serif" w:hAnsi="PT Astra Serif"/>
          <w:sz w:val="26"/>
          <w:szCs w:val="26"/>
        </w:rPr>
        <w:br/>
      </w:r>
      <w:r w:rsidRPr="00AB1F09">
        <w:rPr>
          <w:rFonts w:ascii="PT Astra Serif" w:hAnsi="PT Astra Serif"/>
          <w:sz w:val="26"/>
          <w:szCs w:val="26"/>
        </w:rPr>
        <w:t>№ 1875, из Российской Федерации является номер реестровой записи из реестра российской промышленной продукции, предусмотренного 2 статьей 17.1 Федерального</w:t>
      </w:r>
      <w:r>
        <w:rPr>
          <w:rFonts w:ascii="PT Astra Serif" w:hAnsi="PT Astra Serif"/>
          <w:sz w:val="26"/>
          <w:szCs w:val="26"/>
        </w:rPr>
        <w:t xml:space="preserve"> закона от 31.12.2014 № 488-ФЗ «</w:t>
      </w:r>
      <w:r w:rsidRPr="00AB1F09">
        <w:rPr>
          <w:rFonts w:ascii="PT Astra Serif" w:hAnsi="PT Astra Serif"/>
          <w:sz w:val="26"/>
          <w:szCs w:val="26"/>
        </w:rPr>
        <w:t>О промышленной политике в Росси</w:t>
      </w:r>
      <w:r>
        <w:rPr>
          <w:rFonts w:ascii="PT Astra Serif" w:hAnsi="PT Astra Serif"/>
          <w:sz w:val="26"/>
          <w:szCs w:val="26"/>
        </w:rPr>
        <w:t>йской Федерации»</w:t>
      </w:r>
      <w:r w:rsidRPr="00AB1F09">
        <w:rPr>
          <w:rFonts w:ascii="PT Astra Serif" w:hAnsi="PT Astra Serif"/>
          <w:sz w:val="26"/>
          <w:szCs w:val="26"/>
        </w:rPr>
        <w:t xml:space="preserve"> (далее – реестр российской промышленной продукции), и справка, подтверждающая наличие специального инвестиционного контракта и предусмотренная пунктом 1(1) постановления Правительства Российской</w:t>
      </w:r>
      <w:r>
        <w:rPr>
          <w:rFonts w:ascii="PT Astra Serif" w:hAnsi="PT Astra Serif"/>
          <w:sz w:val="26"/>
          <w:szCs w:val="26"/>
        </w:rPr>
        <w:t xml:space="preserve"> Федерации от 17.07.2015 № 719 «</w:t>
      </w:r>
      <w:r w:rsidRPr="00AB1F09">
        <w:rPr>
          <w:rFonts w:ascii="PT Astra Serif" w:hAnsi="PT Astra Serif"/>
          <w:sz w:val="26"/>
          <w:szCs w:val="26"/>
        </w:rPr>
        <w:t>О подтверждении производства ро</w:t>
      </w:r>
      <w:r>
        <w:rPr>
          <w:rFonts w:ascii="PT Astra Serif" w:hAnsi="PT Astra Serif"/>
          <w:sz w:val="26"/>
          <w:szCs w:val="26"/>
        </w:rPr>
        <w:t>ссийской промышленной продукции»</w:t>
      </w:r>
      <w:r w:rsidRPr="00AB1F09">
        <w:rPr>
          <w:rFonts w:ascii="PT Astra Serif" w:hAnsi="PT Astra Serif"/>
          <w:sz w:val="26"/>
          <w:szCs w:val="26"/>
        </w:rPr>
        <w:t xml:space="preserve"> (далее – Постановление № 719), или номер реестровой записи </w:t>
      </w:r>
      <w:r w:rsidRPr="00AB1F09">
        <w:rPr>
          <w:rFonts w:ascii="PT Astra Serif" w:hAnsi="PT Astra Serif"/>
          <w:sz w:val="26"/>
          <w:szCs w:val="26"/>
        </w:rPr>
        <w:lastRenderedPageBreak/>
        <w:t>из реестра российской промышленной продукции, содержащей в том числе информацию об уровне радиоэлектронной продукции (для товара, являющегося в соответствии с Постановлением № 719 радиоэлектронной продукцией первого уровня или радиоэлектронной продукцией второго уровн</w:t>
      </w:r>
      <w:r>
        <w:rPr>
          <w:rFonts w:ascii="PT Astra Serif" w:hAnsi="PT Astra Serif"/>
          <w:sz w:val="26"/>
          <w:szCs w:val="26"/>
        </w:rPr>
        <w:t xml:space="preserve">я). </w:t>
      </w:r>
    </w:p>
    <w:p w:rsidR="00AB1F09" w:rsidRDefault="00AB1F09" w:rsidP="005D1778">
      <w:pPr>
        <w:pStyle w:val="a5"/>
        <w:spacing w:before="0" w:beforeAutospacing="0" w:after="0" w:afterAutospacing="0" w:line="288" w:lineRule="atLeast"/>
        <w:ind w:firstLine="540"/>
        <w:jc w:val="both"/>
        <w:rPr>
          <w:rFonts w:ascii="PT Astra Serif" w:hAnsi="PT Astra Serif"/>
          <w:sz w:val="26"/>
          <w:szCs w:val="26"/>
        </w:rPr>
      </w:pPr>
      <w:r>
        <w:rPr>
          <w:rFonts w:ascii="PT Astra Serif" w:hAnsi="PT Astra Serif"/>
          <w:sz w:val="26"/>
          <w:szCs w:val="26"/>
        </w:rPr>
        <w:t>В силу положений подпункта «а»</w:t>
      </w:r>
      <w:r w:rsidRPr="00AB1F09">
        <w:rPr>
          <w:rFonts w:ascii="PT Astra Serif" w:hAnsi="PT Astra Serif"/>
          <w:sz w:val="26"/>
          <w:szCs w:val="26"/>
        </w:rPr>
        <w:t xml:space="preserve"> пункта 2 части 4 статьи 14 Закон</w:t>
      </w:r>
      <w:r>
        <w:rPr>
          <w:rFonts w:ascii="PT Astra Serif" w:hAnsi="PT Astra Serif"/>
          <w:sz w:val="26"/>
          <w:szCs w:val="26"/>
        </w:rPr>
        <w:t>а № 44-ФЗ</w:t>
      </w:r>
      <w:r w:rsidRPr="00AB1F09">
        <w:rPr>
          <w:rFonts w:ascii="PT Astra Serif" w:hAnsi="PT Astra Serif"/>
          <w:sz w:val="26"/>
          <w:szCs w:val="26"/>
        </w:rPr>
        <w:t xml:space="preserve"> при осуществлении закупки товара, в отношении которого Постановлением № 1875 установлено ограничение,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Законом № 44-ФЗ,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Законом № 44-ФЗ предусмотрена документация о закупке) заявка, содержащая предложение о поставке такого товара российского происхождения. </w:t>
      </w:r>
    </w:p>
    <w:p w:rsidR="00AB1F09" w:rsidRDefault="00AB1F09" w:rsidP="005D1778">
      <w:pPr>
        <w:pStyle w:val="a5"/>
        <w:spacing w:before="0" w:beforeAutospacing="0" w:after="0" w:afterAutospacing="0" w:line="288" w:lineRule="atLeast"/>
        <w:ind w:firstLine="540"/>
        <w:jc w:val="both"/>
        <w:rPr>
          <w:rFonts w:ascii="PT Astra Serif" w:hAnsi="PT Astra Serif"/>
          <w:sz w:val="26"/>
          <w:szCs w:val="26"/>
        </w:rPr>
      </w:pPr>
      <w:r w:rsidRPr="00AB1F09">
        <w:rPr>
          <w:rFonts w:ascii="PT Astra Serif" w:hAnsi="PT Astra Serif"/>
          <w:sz w:val="26"/>
          <w:szCs w:val="26"/>
        </w:rPr>
        <w:t xml:space="preserve">Следовательно, если в объект одной закупки, осуществляемой в соответствии с Законом № 44-ФЗ, включены товары, указанные в приложении № 2 к Постановлению </w:t>
      </w:r>
      <w:r w:rsidR="00923960">
        <w:rPr>
          <w:rFonts w:ascii="PT Astra Serif" w:hAnsi="PT Astra Serif"/>
          <w:sz w:val="26"/>
          <w:szCs w:val="26"/>
        </w:rPr>
        <w:br/>
      </w:r>
      <w:r w:rsidRPr="00AB1F09">
        <w:rPr>
          <w:rFonts w:ascii="PT Astra Serif" w:hAnsi="PT Astra Serif"/>
          <w:sz w:val="26"/>
          <w:szCs w:val="26"/>
        </w:rPr>
        <w:t xml:space="preserve">№ 1875, целесообразно рассмотреть представленные в заявках на участие в закупке информацию и документы, подтверждающие страну происхождения таких товаров. Наличие в заявке на участие в закупке предложения о поставке таких товаров, происходящих из иностранного государства, является основанием для ее отклонения, если на участие в закупке также подана соответствующая установленным заказчиком требованиям заявка, содержащая в отношении таких товаров предложение о поставке товаров российского происхождения. </w:t>
      </w:r>
    </w:p>
    <w:p w:rsidR="00AB1F09" w:rsidRDefault="00AB1F09" w:rsidP="005D1778">
      <w:pPr>
        <w:pStyle w:val="a5"/>
        <w:spacing w:before="0" w:beforeAutospacing="0" w:after="0" w:afterAutospacing="0" w:line="288" w:lineRule="atLeast"/>
        <w:ind w:firstLine="540"/>
        <w:jc w:val="both"/>
        <w:rPr>
          <w:rFonts w:ascii="PT Astra Serif" w:hAnsi="PT Astra Serif"/>
          <w:sz w:val="26"/>
          <w:szCs w:val="26"/>
        </w:rPr>
      </w:pPr>
      <w:r w:rsidRPr="00AB1F09">
        <w:rPr>
          <w:rFonts w:ascii="PT Astra Serif" w:hAnsi="PT Astra Serif"/>
          <w:sz w:val="26"/>
          <w:szCs w:val="26"/>
        </w:rPr>
        <w:t xml:space="preserve">Следует учитывать, что при осуществлении в соответствии с Законом № 44-ФЗ закупок товаров, указанных в позициях 195, 197–199 и 203 приложения № 2 к Постановлению </w:t>
      </w:r>
      <w:r w:rsidR="00923960">
        <w:rPr>
          <w:rFonts w:ascii="PT Astra Serif" w:hAnsi="PT Astra Serif"/>
          <w:sz w:val="26"/>
          <w:szCs w:val="26"/>
        </w:rPr>
        <w:br/>
      </w:r>
      <w:r w:rsidRPr="00AB1F09">
        <w:rPr>
          <w:rFonts w:ascii="PT Astra Serif" w:hAnsi="PT Astra Serif"/>
          <w:sz w:val="26"/>
          <w:szCs w:val="26"/>
        </w:rPr>
        <w:t>№ 1875, заявка на участие в закупке, в которой содержится предложение о поставке товара российского происхождения, являющегося радиоэлектронной продукцией, не признанной в соответствии с Постановлением № 719 радиоэлектронной продукцией первого уровня, приравнивается к заявке на участие в закупке, в которой содержится предложение о поставке товара, происходящего из иностранного государства, если на участие в такой закупке подана заявка на участие в закупке, признанная по результатам ее рассмотрения соответствующей установленным в соответствии с Законом № 44-ФЗ требованиям и содержащая предложение о поставке товара российского происхождения, являющегося радиоэлектронной продукцией, признанной в соответствии с Постановлением № 719 радиоэлектронной проду</w:t>
      </w:r>
      <w:r w:rsidR="00923960">
        <w:rPr>
          <w:rFonts w:ascii="PT Astra Serif" w:hAnsi="PT Astra Serif"/>
          <w:sz w:val="26"/>
          <w:szCs w:val="26"/>
        </w:rPr>
        <w:t>кцией первого уровня (подпункт «т»</w:t>
      </w:r>
      <w:r w:rsidRPr="00AB1F09">
        <w:rPr>
          <w:rFonts w:ascii="PT Astra Serif" w:hAnsi="PT Astra Serif"/>
          <w:sz w:val="26"/>
          <w:szCs w:val="26"/>
        </w:rPr>
        <w:t xml:space="preserve"> пункта 4 Постановления </w:t>
      </w:r>
      <w:r w:rsidR="00923960">
        <w:rPr>
          <w:rFonts w:ascii="PT Astra Serif" w:hAnsi="PT Astra Serif"/>
          <w:sz w:val="26"/>
          <w:szCs w:val="26"/>
        </w:rPr>
        <w:br/>
      </w:r>
      <w:r w:rsidRPr="00AB1F09">
        <w:rPr>
          <w:rFonts w:ascii="PT Astra Serif" w:hAnsi="PT Astra Serif"/>
          <w:sz w:val="26"/>
          <w:szCs w:val="26"/>
        </w:rPr>
        <w:t xml:space="preserve">№ 1875). </w:t>
      </w:r>
    </w:p>
    <w:p w:rsidR="00AB1F09" w:rsidRDefault="00AB1F09" w:rsidP="005D1778">
      <w:pPr>
        <w:pStyle w:val="a5"/>
        <w:spacing w:before="0" w:beforeAutospacing="0" w:after="0" w:afterAutospacing="0" w:line="288" w:lineRule="atLeast"/>
        <w:ind w:firstLine="540"/>
        <w:jc w:val="both"/>
        <w:rPr>
          <w:rFonts w:ascii="PT Astra Serif" w:hAnsi="PT Astra Serif"/>
          <w:sz w:val="26"/>
          <w:szCs w:val="26"/>
        </w:rPr>
      </w:pPr>
      <w:r w:rsidRPr="00AB1F09">
        <w:rPr>
          <w:rFonts w:ascii="PT Astra Serif" w:hAnsi="PT Astra Serif"/>
          <w:sz w:val="26"/>
          <w:szCs w:val="26"/>
        </w:rPr>
        <w:t>Таким образом,</w:t>
      </w:r>
      <w:r w:rsidR="00923960">
        <w:rPr>
          <w:rFonts w:ascii="PT Astra Serif" w:hAnsi="PT Astra Serif"/>
          <w:sz w:val="26"/>
          <w:szCs w:val="26"/>
        </w:rPr>
        <w:t xml:space="preserve"> условием применения подпункта «т»</w:t>
      </w:r>
      <w:r w:rsidRPr="00AB1F09">
        <w:rPr>
          <w:rFonts w:ascii="PT Astra Serif" w:hAnsi="PT Astra Serif"/>
          <w:sz w:val="26"/>
          <w:szCs w:val="26"/>
        </w:rPr>
        <w:t xml:space="preserve"> пункта 4 Постановления № 1875 является наличие в числе заявок на участие в закупке заявки, признанной по результатам ее рассмотрения соответствующей установленным в соответствии с Законом № 44-ФЗ требованиям и содержащей предложение о поставке всех товаров российского происхождения, являющихся радиоэлектронной продукцией, признанной в соответствии с Постановлением № 719 радиоэлектронной продукцией первого уровня. </w:t>
      </w:r>
    </w:p>
    <w:p w:rsidR="00AB1F09" w:rsidRDefault="00AB1F09" w:rsidP="005D1778">
      <w:pPr>
        <w:pStyle w:val="a5"/>
        <w:spacing w:before="0" w:beforeAutospacing="0" w:after="0" w:afterAutospacing="0" w:line="288" w:lineRule="atLeast"/>
        <w:ind w:firstLine="540"/>
        <w:jc w:val="both"/>
        <w:rPr>
          <w:rFonts w:ascii="PT Astra Serif" w:hAnsi="PT Astra Serif"/>
          <w:sz w:val="26"/>
          <w:szCs w:val="26"/>
        </w:rPr>
      </w:pPr>
      <w:r w:rsidRPr="00AB1F09">
        <w:rPr>
          <w:rFonts w:ascii="PT Astra Serif" w:hAnsi="PT Astra Serif"/>
          <w:sz w:val="26"/>
          <w:szCs w:val="26"/>
        </w:rPr>
        <w:t>Учитывая изложенное, в случае, указанном в обращении, при включении в объект закупки нескольких товаров, указанных в позициях 195, 197–199 и 203 приложения № 2 к Постановлению № 1875, заявка участника закупки, содержащая предложение о поставке товаров российского происхождения, часть из которых не является радиоэлектронной продукцией первого уровня, приравнивается к заявке на участие в закупке, содержащей предложение о поставке товаров иностранного происхождения, только в случае, если на участие в закупке подана заявка, в которой содержится предложение о поставке всех товаров российского происхождения, являющихся радиоэлектронной продукцией первого уровня.</w:t>
      </w:r>
    </w:p>
    <w:p w:rsidR="00DF024F" w:rsidRDefault="00DF024F" w:rsidP="005D1778">
      <w:pPr>
        <w:pStyle w:val="a5"/>
        <w:spacing w:before="0" w:beforeAutospacing="0" w:after="0" w:afterAutospacing="0" w:line="288" w:lineRule="atLeast"/>
        <w:ind w:firstLine="540"/>
        <w:jc w:val="both"/>
        <w:rPr>
          <w:rFonts w:ascii="PT Astra Serif" w:hAnsi="PT Astra Serif"/>
          <w:sz w:val="26"/>
          <w:szCs w:val="26"/>
        </w:rPr>
      </w:pPr>
    </w:p>
    <w:p w:rsidR="00DF024F" w:rsidRPr="00DF024F" w:rsidRDefault="00DF024F" w:rsidP="005D1778">
      <w:pPr>
        <w:pStyle w:val="a5"/>
        <w:spacing w:before="0" w:beforeAutospacing="0" w:after="0" w:afterAutospacing="0" w:line="288" w:lineRule="atLeast"/>
        <w:ind w:firstLine="540"/>
        <w:jc w:val="both"/>
        <w:rPr>
          <w:rFonts w:ascii="PT Astra Serif" w:hAnsi="PT Astra Serif"/>
          <w:i/>
          <w:sz w:val="26"/>
          <w:szCs w:val="26"/>
        </w:rPr>
      </w:pPr>
      <w:r w:rsidRPr="00DF024F">
        <w:rPr>
          <w:rFonts w:ascii="PT Astra Serif" w:hAnsi="PT Astra Serif"/>
          <w:i/>
          <w:sz w:val="26"/>
          <w:szCs w:val="26"/>
        </w:rPr>
        <w:t>Письмо ФАС России от 06.11.2025 № СП/104709/25 «О результатах рассмотрения обращения»</w:t>
      </w:r>
    </w:p>
    <w:p w:rsidR="00DF024F" w:rsidRPr="00DF024F" w:rsidRDefault="00DF024F" w:rsidP="005D1778">
      <w:pPr>
        <w:pStyle w:val="a5"/>
        <w:spacing w:before="0" w:beforeAutospacing="0" w:after="0" w:afterAutospacing="0" w:line="288" w:lineRule="atLeast"/>
        <w:ind w:firstLine="540"/>
        <w:jc w:val="both"/>
        <w:rPr>
          <w:rFonts w:ascii="PT Astra Serif" w:hAnsi="PT Astra Serif"/>
          <w:sz w:val="26"/>
          <w:szCs w:val="26"/>
          <w:shd w:val="clear" w:color="auto" w:fill="FFFFFF"/>
        </w:rPr>
      </w:pPr>
      <w:r w:rsidRPr="00DF024F">
        <w:rPr>
          <w:rFonts w:ascii="PT Astra Serif" w:hAnsi="PT Astra Serif"/>
          <w:sz w:val="26"/>
          <w:szCs w:val="26"/>
          <w:shd w:val="clear" w:color="auto" w:fill="FFFFFF"/>
        </w:rPr>
        <w:t>ФАС России разъяснила, что при определении начальной (максимальной) цены контракта на поставку моторного масла заказчик вправе включать в расчет стоимость транспортировки топлива до места нахождения емкости заказчика.</w:t>
      </w:r>
    </w:p>
    <w:p w:rsidR="00DF024F" w:rsidRPr="00DF024F" w:rsidRDefault="00DF024F" w:rsidP="005D1778">
      <w:pPr>
        <w:pStyle w:val="a5"/>
        <w:spacing w:before="0" w:beforeAutospacing="0" w:after="0" w:afterAutospacing="0" w:line="288" w:lineRule="atLeast"/>
        <w:ind w:firstLine="540"/>
        <w:jc w:val="both"/>
        <w:rPr>
          <w:rFonts w:ascii="PT Astra Serif" w:hAnsi="PT Astra Serif"/>
          <w:sz w:val="26"/>
          <w:szCs w:val="26"/>
        </w:rPr>
      </w:pPr>
      <w:r w:rsidRPr="00DF024F">
        <w:rPr>
          <w:rFonts w:ascii="PT Astra Serif" w:hAnsi="PT Astra Serif"/>
          <w:sz w:val="26"/>
          <w:szCs w:val="26"/>
        </w:rPr>
        <w:t>В соответствии с пунктом 6 Порядка основой формирования начальной (максимальной) цены контракта (далее – НМЦК), цены контракта, заключаемого с единственным поставщиком (подрядчиком, исполнителем) (далее – Цена контракта), начальной цены единицы товара, работы, услуги (далее – Начальная цена) при поставках моторного топлива, осуществляемых на топливораздаточных колонках посредством отгрузки в бак (емкость) автомобильного транспорта, являются статистические данные, предоставляемые ЦДУ ТЭК – филиалом ФГБУ «РЭА» Минэнерго России согласно договору о предоставлении услуг по подготовке и передаче информационных продуктов в области ТЭК, статистические данные Федеральной службы государственной статистики (Росстат), статистические данные единой межведомственной информационно-статистической системы (ЕМИСС) и другие источники, распространяющие либо предоставляющие статистическую информацию (перечень источников статистической информации, представленный в Порядке, является открытым).</w:t>
      </w:r>
    </w:p>
    <w:p w:rsidR="00DF024F" w:rsidRPr="00DF024F" w:rsidRDefault="00DF024F" w:rsidP="005D1778">
      <w:pPr>
        <w:pStyle w:val="a5"/>
        <w:spacing w:before="0" w:beforeAutospacing="0" w:after="0" w:afterAutospacing="0" w:line="288" w:lineRule="atLeast"/>
        <w:ind w:firstLine="540"/>
        <w:jc w:val="both"/>
        <w:rPr>
          <w:rFonts w:ascii="PT Astra Serif" w:hAnsi="PT Astra Serif"/>
          <w:sz w:val="26"/>
          <w:szCs w:val="26"/>
        </w:rPr>
      </w:pPr>
      <w:r w:rsidRPr="00DF024F">
        <w:rPr>
          <w:rFonts w:ascii="PT Astra Serif" w:hAnsi="PT Astra Serif"/>
          <w:sz w:val="26"/>
          <w:szCs w:val="26"/>
        </w:rPr>
        <w:t xml:space="preserve">При формировании Цены контракта, НМЦК и Начальной цены на дату поставки товара (для месяца поставки, следующего за текущим) может учитываться стоимость транспортировки, коэффициенты и показатели, установленные пунктами 7 и 8 Порядка, а именно, коэффициент стоимости отвлечения денежных средств при предоставлении отсрочки платежа в размере текущей ставки рефинансирования Банка России и коэффициент перехода на сезонный вид продукции, рассчитанный на основании статистических данных аналогичного периода поставки (месяца) предыдущего года, индекс потребительских цен (далее – ИПЦ), условия поставки товара, в том числе сроки и объем поставки, наличие авансирования, порядок расчета за поставленное моторное топливо. </w:t>
      </w:r>
    </w:p>
    <w:p w:rsidR="00DF024F" w:rsidRPr="00DF024F" w:rsidRDefault="00DF024F" w:rsidP="005D1778">
      <w:pPr>
        <w:pStyle w:val="a5"/>
        <w:spacing w:before="0" w:beforeAutospacing="0" w:after="0" w:afterAutospacing="0" w:line="288" w:lineRule="atLeast"/>
        <w:ind w:firstLine="540"/>
        <w:jc w:val="both"/>
        <w:rPr>
          <w:rFonts w:ascii="PT Astra Serif" w:hAnsi="PT Astra Serif"/>
          <w:sz w:val="26"/>
          <w:szCs w:val="26"/>
        </w:rPr>
      </w:pPr>
      <w:r w:rsidRPr="00DF024F">
        <w:rPr>
          <w:rFonts w:ascii="PT Astra Serif" w:hAnsi="PT Astra Serif"/>
          <w:sz w:val="26"/>
          <w:szCs w:val="26"/>
        </w:rPr>
        <w:t xml:space="preserve">Указанные дополнительные показатели и коэффициенты применяются при наличии соответствующих факторов и соответствующих условий поставки, рассчитываются и применяются заказчиками самостоятельно. </w:t>
      </w:r>
    </w:p>
    <w:p w:rsidR="00DF024F" w:rsidRPr="00DF024F" w:rsidRDefault="00DF024F" w:rsidP="005D1778">
      <w:pPr>
        <w:pStyle w:val="a5"/>
        <w:spacing w:before="0" w:beforeAutospacing="0" w:after="0" w:afterAutospacing="0" w:line="288" w:lineRule="atLeast"/>
        <w:ind w:firstLine="540"/>
        <w:jc w:val="both"/>
        <w:rPr>
          <w:rFonts w:ascii="PT Astra Serif" w:hAnsi="PT Astra Serif"/>
          <w:sz w:val="26"/>
          <w:szCs w:val="26"/>
          <w:shd w:val="clear" w:color="auto" w:fill="FFFFFF"/>
        </w:rPr>
      </w:pPr>
      <w:r w:rsidRPr="00DF024F">
        <w:rPr>
          <w:rFonts w:ascii="PT Astra Serif" w:hAnsi="PT Astra Serif"/>
          <w:sz w:val="26"/>
          <w:szCs w:val="26"/>
        </w:rPr>
        <w:t>Таким образом, в целях определения цены на дату поставки товара заказчик вправе предусмотреть в Цене контракта, НМЦК и Начальной цене стоимость транспортировки моторного топлива до места нахождения емкости заказчика.</w:t>
      </w:r>
    </w:p>
    <w:p w:rsidR="000D114D" w:rsidRDefault="000D114D" w:rsidP="003B3F82">
      <w:pPr>
        <w:spacing w:after="0" w:line="240" w:lineRule="auto"/>
        <w:jc w:val="both"/>
        <w:rPr>
          <w:i/>
          <w:sz w:val="26"/>
          <w:szCs w:val="26"/>
        </w:rPr>
      </w:pPr>
    </w:p>
    <w:p w:rsidR="0053095B" w:rsidRDefault="00B30D36" w:rsidP="00B30D36">
      <w:pPr>
        <w:spacing w:after="0" w:line="240" w:lineRule="auto"/>
        <w:ind w:firstLine="709"/>
        <w:jc w:val="both"/>
        <w:rPr>
          <w:i/>
          <w:sz w:val="26"/>
          <w:szCs w:val="26"/>
        </w:rPr>
      </w:pPr>
      <w:r>
        <w:rPr>
          <w:i/>
          <w:sz w:val="26"/>
          <w:szCs w:val="26"/>
        </w:rPr>
        <w:t>Определение Верховного суда Российской Федерации от 05.11.2025 №</w:t>
      </w:r>
      <w:r w:rsidR="0053095B">
        <w:rPr>
          <w:i/>
          <w:sz w:val="26"/>
          <w:szCs w:val="26"/>
        </w:rPr>
        <w:t xml:space="preserve"> 308-ЭС25-10662 по делу № А63-12956/2024</w:t>
      </w:r>
    </w:p>
    <w:p w:rsidR="00B30D36" w:rsidRDefault="002A47DE" w:rsidP="00B30D36">
      <w:pPr>
        <w:spacing w:after="0" w:line="240" w:lineRule="auto"/>
        <w:ind w:firstLine="709"/>
        <w:jc w:val="both"/>
        <w:rPr>
          <w:sz w:val="26"/>
          <w:szCs w:val="26"/>
        </w:rPr>
      </w:pPr>
      <w:r>
        <w:rPr>
          <w:sz w:val="26"/>
          <w:szCs w:val="26"/>
        </w:rPr>
        <w:t>Заявитель: Общество</w:t>
      </w:r>
    </w:p>
    <w:p w:rsidR="002A47DE" w:rsidRDefault="002A47DE" w:rsidP="00B30D36">
      <w:pPr>
        <w:spacing w:after="0" w:line="240" w:lineRule="auto"/>
        <w:ind w:firstLine="709"/>
        <w:jc w:val="both"/>
        <w:rPr>
          <w:sz w:val="26"/>
          <w:szCs w:val="26"/>
        </w:rPr>
      </w:pPr>
      <w:r>
        <w:rPr>
          <w:sz w:val="26"/>
          <w:szCs w:val="26"/>
        </w:rPr>
        <w:t xml:space="preserve">Между Комитетом и Обществом заключены муниципальные контракты (11 шт.) на поставку систем для затемнения окон с целью оснащения объекта. Общая стоимость поставленного по контрактам товара составила свыше 6 миллионов рублей. </w:t>
      </w:r>
    </w:p>
    <w:p w:rsidR="002A47DE" w:rsidRDefault="002A47DE" w:rsidP="00B30D36">
      <w:pPr>
        <w:spacing w:after="0" w:line="240" w:lineRule="auto"/>
        <w:ind w:firstLine="709"/>
        <w:jc w:val="both"/>
        <w:rPr>
          <w:sz w:val="26"/>
          <w:szCs w:val="26"/>
        </w:rPr>
      </w:pPr>
      <w:r>
        <w:rPr>
          <w:sz w:val="26"/>
          <w:szCs w:val="26"/>
        </w:rPr>
        <w:t>Контракты исполнены сторонами, поставленный товар смонтирован на объекте, указанном Комитетом в контракте.</w:t>
      </w:r>
    </w:p>
    <w:p w:rsidR="002A47DE" w:rsidRDefault="002A47DE" w:rsidP="00B30D36">
      <w:pPr>
        <w:spacing w:after="0" w:line="240" w:lineRule="auto"/>
        <w:ind w:firstLine="709"/>
        <w:jc w:val="both"/>
        <w:rPr>
          <w:sz w:val="26"/>
          <w:szCs w:val="26"/>
        </w:rPr>
      </w:pPr>
      <w:r>
        <w:rPr>
          <w:sz w:val="26"/>
          <w:szCs w:val="26"/>
        </w:rPr>
        <w:t xml:space="preserve">Полагая, что </w:t>
      </w:r>
      <w:r w:rsidR="00D1078C">
        <w:rPr>
          <w:sz w:val="26"/>
          <w:szCs w:val="26"/>
        </w:rPr>
        <w:t>контракты заключены с нарушениями</w:t>
      </w:r>
      <w:r>
        <w:rPr>
          <w:sz w:val="26"/>
          <w:szCs w:val="26"/>
        </w:rPr>
        <w:t xml:space="preserve"> положе</w:t>
      </w:r>
      <w:r w:rsidR="00D1078C">
        <w:rPr>
          <w:sz w:val="26"/>
          <w:szCs w:val="26"/>
        </w:rPr>
        <w:t>ний Закона № 44-ФЗ, выразившихся</w:t>
      </w:r>
      <w:r>
        <w:rPr>
          <w:sz w:val="26"/>
          <w:szCs w:val="26"/>
        </w:rPr>
        <w:t xml:space="preserve"> в </w:t>
      </w:r>
      <w:r w:rsidR="00D1078C">
        <w:rPr>
          <w:sz w:val="26"/>
          <w:szCs w:val="26"/>
        </w:rPr>
        <w:t xml:space="preserve">создании Обществу преимущественных условий по сравнению с иными хозяйствующими субъектами, а также искусственном раздроблении и оформлении самостоятельными контрактами для формального соблюдения Закона № 44-ФЗ, </w:t>
      </w:r>
      <w:r w:rsidR="0023019A">
        <w:rPr>
          <w:sz w:val="26"/>
          <w:szCs w:val="26"/>
        </w:rPr>
        <w:t>Прокурор обратился в арбитражный суд с иском.</w:t>
      </w:r>
    </w:p>
    <w:p w:rsidR="001E584D" w:rsidRDefault="0023019A" w:rsidP="00B30D36">
      <w:pPr>
        <w:spacing w:after="0" w:line="240" w:lineRule="auto"/>
        <w:ind w:firstLine="709"/>
        <w:jc w:val="both"/>
        <w:rPr>
          <w:sz w:val="26"/>
          <w:szCs w:val="26"/>
        </w:rPr>
      </w:pPr>
      <w:r>
        <w:rPr>
          <w:sz w:val="26"/>
          <w:szCs w:val="26"/>
        </w:rPr>
        <w:lastRenderedPageBreak/>
        <w:t xml:space="preserve">Суд первой инстанции </w:t>
      </w:r>
      <w:r w:rsidR="001E584D">
        <w:rPr>
          <w:sz w:val="26"/>
          <w:szCs w:val="26"/>
        </w:rPr>
        <w:t>указал, что требования Прокурора об оспаривании спорных контрактов и применении последствий недействительности</w:t>
      </w:r>
      <w:r w:rsidR="00277064">
        <w:rPr>
          <w:sz w:val="26"/>
          <w:szCs w:val="26"/>
        </w:rPr>
        <w:t xml:space="preserve"> ничтожных сделок не направленны</w:t>
      </w:r>
      <w:r w:rsidR="001E584D">
        <w:rPr>
          <w:sz w:val="26"/>
          <w:szCs w:val="26"/>
        </w:rPr>
        <w:t xml:space="preserve"> на восстановление нарушенных прав. В удовлетворении исковых требований отказал.</w:t>
      </w:r>
    </w:p>
    <w:p w:rsidR="001E584D" w:rsidRDefault="001E584D" w:rsidP="00B30D36">
      <w:pPr>
        <w:spacing w:after="0" w:line="240" w:lineRule="auto"/>
        <w:ind w:firstLine="709"/>
        <w:jc w:val="both"/>
        <w:rPr>
          <w:sz w:val="26"/>
          <w:szCs w:val="26"/>
        </w:rPr>
      </w:pPr>
      <w:r>
        <w:rPr>
          <w:sz w:val="26"/>
          <w:szCs w:val="26"/>
        </w:rPr>
        <w:t xml:space="preserve">Отменяя решение суда первой инстанции и удовлетворяя в части заявленные исковые требования, суд апелляционной инстанции указал, что заключение данных контрактов с единственным поставщиком в отсутствие конкурентных процедур, предусмотренных Законом № 44-ФЗ, способствовало созданию преимущественного положения единственному поставщику и лишило возможности других хозяйствующих субъектов, осуществляющих аналогичную деятельность, реализовать свое право на заключение указанных контрактов. </w:t>
      </w:r>
    </w:p>
    <w:p w:rsidR="000921AE" w:rsidRDefault="001E584D" w:rsidP="00B30D36">
      <w:pPr>
        <w:spacing w:after="0" w:line="240" w:lineRule="auto"/>
        <w:ind w:firstLine="709"/>
        <w:jc w:val="both"/>
        <w:rPr>
          <w:sz w:val="26"/>
          <w:szCs w:val="26"/>
        </w:rPr>
      </w:pPr>
      <w:r>
        <w:rPr>
          <w:sz w:val="26"/>
          <w:szCs w:val="26"/>
        </w:rPr>
        <w:t xml:space="preserve">Все одиннадцать контрактов имеют фактическую направленность на достижение единой хозяйственной цели, приобретателем </w:t>
      </w:r>
      <w:r w:rsidR="0028308A">
        <w:rPr>
          <w:sz w:val="26"/>
          <w:szCs w:val="26"/>
        </w:rPr>
        <w:t>по ним является одно и то же лицо, имеющее единый интерес, то есть спорные контракты образуют единую сделку, искусственно раздробленную на 11 контрактов до 600 тысяч рублей.</w:t>
      </w:r>
    </w:p>
    <w:p w:rsidR="007F1F4A" w:rsidRDefault="00DA26AB" w:rsidP="00B30D36">
      <w:pPr>
        <w:spacing w:after="0" w:line="240" w:lineRule="auto"/>
        <w:ind w:firstLine="709"/>
        <w:jc w:val="both"/>
        <w:rPr>
          <w:sz w:val="26"/>
          <w:szCs w:val="26"/>
        </w:rPr>
      </w:pPr>
      <w:r>
        <w:rPr>
          <w:sz w:val="26"/>
          <w:szCs w:val="26"/>
        </w:rPr>
        <w:t>Заключение ряда связанных между собой гражданско-правовых договоров, фактически образующих единую сделку, искусственно раздробленную для формального соблюдения специальных ограничений, предусмотренных действующим законодательством, с целью уйти от необходимости проведения конкурентных процедур вступления в правоотношения с муниципальным</w:t>
      </w:r>
      <w:r w:rsidR="007F1F4A">
        <w:rPr>
          <w:sz w:val="26"/>
          <w:szCs w:val="26"/>
        </w:rPr>
        <w:t xml:space="preserve"> </w:t>
      </w:r>
      <w:r w:rsidR="00277064">
        <w:rPr>
          <w:sz w:val="26"/>
          <w:szCs w:val="26"/>
        </w:rPr>
        <w:t>заказчиком, по сути, фактически отменяет</w:t>
      </w:r>
      <w:r w:rsidR="007F1F4A">
        <w:rPr>
          <w:sz w:val="26"/>
          <w:szCs w:val="26"/>
        </w:rPr>
        <w:t xml:space="preserve"> его применение и открывает возможность для приобретения незаконных имущественных выгод. </w:t>
      </w:r>
    </w:p>
    <w:p w:rsidR="0023019A" w:rsidRDefault="007F1F4A" w:rsidP="00B30D36">
      <w:pPr>
        <w:spacing w:after="0" w:line="240" w:lineRule="auto"/>
        <w:ind w:firstLine="709"/>
        <w:jc w:val="both"/>
        <w:rPr>
          <w:sz w:val="26"/>
          <w:szCs w:val="26"/>
        </w:rPr>
      </w:pPr>
      <w:r>
        <w:rPr>
          <w:sz w:val="26"/>
          <w:szCs w:val="26"/>
        </w:rPr>
        <w:t xml:space="preserve">Доводы Комитета о том, что спорные контракты соответствуют требованиям Закона № 44-ФЗ, поскольку заключены на площадке закупок малого объема, судом отклонены. Законом № 44-ФЗ предусмотрено, что </w:t>
      </w:r>
      <w:r w:rsidR="00AA283F">
        <w:rPr>
          <w:sz w:val="26"/>
          <w:szCs w:val="26"/>
        </w:rPr>
        <w:t>в электронной форме с использованием электронной площадки может осуществляться на сумму, не превышающую пяти миллионов рублей, закупка, по результатам которой заключается контракт на поставку товара или контракт, предметом которого является предоставление права на использование программы для электронной вычислительной машины и (или) базы данных (включая обновления к ним и дополнительные функциональные возможности), в том числе путем предоставления удаленного доступа к ним через информационно-телекоммуникационные сети, в том числе через информационно-телекоммуникационную сеть «Интернет». Годовой объем закупок, осуществляемых в таком порядке, не должен превышать сто миллионов рублей.</w:t>
      </w:r>
    </w:p>
    <w:p w:rsidR="00AA283F" w:rsidRDefault="00AA283F" w:rsidP="00AA283F">
      <w:pPr>
        <w:spacing w:after="0" w:line="240" w:lineRule="auto"/>
        <w:ind w:firstLine="709"/>
        <w:jc w:val="both"/>
        <w:rPr>
          <w:sz w:val="26"/>
          <w:szCs w:val="26"/>
        </w:rPr>
      </w:pPr>
      <w:r>
        <w:rPr>
          <w:sz w:val="26"/>
          <w:szCs w:val="26"/>
        </w:rPr>
        <w:t>Вышестоящие суды согласились с позицией суда апелляционной инстанции.</w:t>
      </w:r>
    </w:p>
    <w:p w:rsidR="00684494" w:rsidRPr="00AA283F" w:rsidRDefault="00AA283F" w:rsidP="00AA283F">
      <w:pPr>
        <w:spacing w:after="0" w:line="240" w:lineRule="auto"/>
        <w:ind w:firstLine="709"/>
        <w:jc w:val="both"/>
        <w:rPr>
          <w:sz w:val="26"/>
          <w:szCs w:val="26"/>
        </w:rPr>
      </w:pPr>
      <w:r>
        <w:rPr>
          <w:sz w:val="26"/>
          <w:szCs w:val="26"/>
        </w:rPr>
        <w:t>Верховный суд Российской Федерации не нашел оснований для пересмотра дела.</w:t>
      </w:r>
    </w:p>
    <w:sectPr w:rsidR="00684494" w:rsidRPr="00AA283F" w:rsidSect="00130EB1">
      <w:headerReference w:type="default" r:id="rId7"/>
      <w:pgSz w:w="11906" w:h="16838"/>
      <w:pgMar w:top="1134" w:right="567" w:bottom="1134" w:left="1134" w:header="708" w:footer="708"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4D19" w:rsidRDefault="00A34D19" w:rsidP="00130EB1">
      <w:pPr>
        <w:spacing w:after="0" w:line="240" w:lineRule="auto"/>
      </w:pPr>
      <w:r>
        <w:separator/>
      </w:r>
    </w:p>
  </w:endnote>
  <w:endnote w:type="continuationSeparator" w:id="0">
    <w:p w:rsidR="00A34D19" w:rsidRDefault="00A34D19" w:rsidP="00130E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T Astra Serif">
    <w:panose1 w:val="020A0603040505020204"/>
    <w:charset w:val="CC"/>
    <w:family w:val="roman"/>
    <w:pitch w:val="variable"/>
    <w:sig w:usb0="A00002EF" w:usb1="5000204B" w:usb2="00000020" w:usb3="00000000" w:csb0="00000097"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4D19" w:rsidRDefault="00A34D19" w:rsidP="00130EB1">
      <w:pPr>
        <w:spacing w:after="0" w:line="240" w:lineRule="auto"/>
      </w:pPr>
      <w:r>
        <w:separator/>
      </w:r>
    </w:p>
  </w:footnote>
  <w:footnote w:type="continuationSeparator" w:id="0">
    <w:p w:rsidR="00A34D19" w:rsidRDefault="00A34D19" w:rsidP="00130EB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0054853"/>
      <w:docPartObj>
        <w:docPartGallery w:val="Page Numbers (Top of Page)"/>
        <w:docPartUnique/>
      </w:docPartObj>
    </w:sdtPr>
    <w:sdtEndPr>
      <w:rPr>
        <w:sz w:val="24"/>
        <w:szCs w:val="24"/>
      </w:rPr>
    </w:sdtEndPr>
    <w:sdtContent>
      <w:p w:rsidR="00130EB1" w:rsidRPr="00130EB1" w:rsidRDefault="00130EB1">
        <w:pPr>
          <w:pStyle w:val="a6"/>
          <w:jc w:val="center"/>
          <w:rPr>
            <w:sz w:val="24"/>
            <w:szCs w:val="24"/>
          </w:rPr>
        </w:pPr>
        <w:r w:rsidRPr="00130EB1">
          <w:rPr>
            <w:sz w:val="24"/>
            <w:szCs w:val="24"/>
          </w:rPr>
          <w:fldChar w:fldCharType="begin"/>
        </w:r>
        <w:r w:rsidRPr="00130EB1">
          <w:rPr>
            <w:sz w:val="24"/>
            <w:szCs w:val="24"/>
          </w:rPr>
          <w:instrText>PAGE   \* MERGEFORMAT</w:instrText>
        </w:r>
        <w:r w:rsidRPr="00130EB1">
          <w:rPr>
            <w:sz w:val="24"/>
            <w:szCs w:val="24"/>
          </w:rPr>
          <w:fldChar w:fldCharType="separate"/>
        </w:r>
        <w:r w:rsidR="0090261C">
          <w:rPr>
            <w:noProof/>
            <w:sz w:val="24"/>
            <w:szCs w:val="24"/>
          </w:rPr>
          <w:t>4</w:t>
        </w:r>
        <w:r w:rsidRPr="00130EB1">
          <w:rPr>
            <w:sz w:val="24"/>
            <w:szCs w:val="24"/>
          </w:rPr>
          <w:fldChar w:fldCharType="end"/>
        </w:r>
      </w:p>
    </w:sdtContent>
  </w:sdt>
  <w:p w:rsidR="00130EB1" w:rsidRDefault="00130EB1">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5F067B6"/>
    <w:multiLevelType w:val="hybridMultilevel"/>
    <w:tmpl w:val="DE7CEB60"/>
    <w:lvl w:ilvl="0" w:tplc="0C1CFD70">
      <w:start w:val="1"/>
      <w:numFmt w:val="bullet"/>
      <w:lvlText w:val=""/>
      <w:lvlJc w:val="left"/>
      <w:pPr>
        <w:ind w:left="641" w:hanging="357"/>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7D81"/>
    <w:rsid w:val="00047614"/>
    <w:rsid w:val="000921AE"/>
    <w:rsid w:val="000D114D"/>
    <w:rsid w:val="00130EB1"/>
    <w:rsid w:val="001E584D"/>
    <w:rsid w:val="0023019A"/>
    <w:rsid w:val="00277064"/>
    <w:rsid w:val="0028308A"/>
    <w:rsid w:val="002A47DE"/>
    <w:rsid w:val="003B3F82"/>
    <w:rsid w:val="003E6E0A"/>
    <w:rsid w:val="00436775"/>
    <w:rsid w:val="0045468F"/>
    <w:rsid w:val="004F0025"/>
    <w:rsid w:val="0053095B"/>
    <w:rsid w:val="005D1778"/>
    <w:rsid w:val="00684494"/>
    <w:rsid w:val="00747580"/>
    <w:rsid w:val="007F1F4A"/>
    <w:rsid w:val="00805328"/>
    <w:rsid w:val="0090261C"/>
    <w:rsid w:val="00923960"/>
    <w:rsid w:val="00A34D19"/>
    <w:rsid w:val="00AA283F"/>
    <w:rsid w:val="00AB1F09"/>
    <w:rsid w:val="00B30D36"/>
    <w:rsid w:val="00B42BED"/>
    <w:rsid w:val="00C47D81"/>
    <w:rsid w:val="00D1078C"/>
    <w:rsid w:val="00D75BA0"/>
    <w:rsid w:val="00DA26AB"/>
    <w:rsid w:val="00DF024F"/>
    <w:rsid w:val="00F512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AA61EA2-5242-4240-861F-A97879E0F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PT Astra Serif" w:eastAsiaTheme="minorHAnsi" w:hAnsi="PT Astra Serif" w:cstheme="minorBidi"/>
        <w:sz w:val="28"/>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0D3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B30D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B30D36"/>
    <w:pPr>
      <w:ind w:left="720"/>
      <w:contextualSpacing/>
    </w:pPr>
  </w:style>
  <w:style w:type="paragraph" w:styleId="a5">
    <w:name w:val="Normal (Web)"/>
    <w:basedOn w:val="a"/>
    <w:uiPriority w:val="99"/>
    <w:unhideWhenUsed/>
    <w:rsid w:val="005D177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header"/>
    <w:basedOn w:val="a"/>
    <w:link w:val="a7"/>
    <w:uiPriority w:val="99"/>
    <w:unhideWhenUsed/>
    <w:rsid w:val="00130EB1"/>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130EB1"/>
  </w:style>
  <w:style w:type="paragraph" w:styleId="a8">
    <w:name w:val="footer"/>
    <w:basedOn w:val="a"/>
    <w:link w:val="a9"/>
    <w:uiPriority w:val="99"/>
    <w:unhideWhenUsed/>
    <w:rsid w:val="00130EB1"/>
    <w:pPr>
      <w:tabs>
        <w:tab w:val="center" w:pos="4677"/>
        <w:tab w:val="right" w:pos="9355"/>
      </w:tabs>
      <w:spacing w:after="0" w:line="240" w:lineRule="auto"/>
    </w:pPr>
  </w:style>
  <w:style w:type="character" w:customStyle="1" w:styleId="a9">
    <w:name w:val="Нижний колонтитул Знак"/>
    <w:basedOn w:val="a0"/>
    <w:link w:val="a8"/>
    <w:uiPriority w:val="99"/>
    <w:rsid w:val="00130E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4301361">
      <w:bodyDiv w:val="1"/>
      <w:marLeft w:val="0"/>
      <w:marRight w:val="0"/>
      <w:marTop w:val="0"/>
      <w:marBottom w:val="0"/>
      <w:divBdr>
        <w:top w:val="none" w:sz="0" w:space="0" w:color="auto"/>
        <w:left w:val="none" w:sz="0" w:space="0" w:color="auto"/>
        <w:bottom w:val="none" w:sz="0" w:space="0" w:color="auto"/>
        <w:right w:val="none" w:sz="0" w:space="0" w:color="auto"/>
      </w:divBdr>
    </w:div>
    <w:div w:id="1107772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169</TotalTime>
  <Pages>4</Pages>
  <Words>1856</Words>
  <Characters>10585</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12417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Ангелина Ворогушина</dc:creator>
  <cp:keywords/>
  <dc:description/>
  <cp:lastModifiedBy>Ангелина Ворогушина</cp:lastModifiedBy>
  <cp:revision>33</cp:revision>
  <dcterms:created xsi:type="dcterms:W3CDTF">2025-11-17T07:00:00Z</dcterms:created>
  <dcterms:modified xsi:type="dcterms:W3CDTF">2025-11-18T04:03:00Z</dcterms:modified>
</cp:coreProperties>
</file>