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firstLine="709"/>
        <w:jc w:val="both"/>
        <w:spacing w:after="120" w:line="240" w:lineRule="auto"/>
        <w:rPr>
          <w:rFonts w:ascii="PT Astra Serif" w:hAnsi="PT Astra Serif" w:cs="PT Astra Serif"/>
          <w:b/>
          <w:sz w:val="24"/>
          <w:szCs w:val="24"/>
        </w:rPr>
      </w:pPr>
      <w:r>
        <w:rPr>
          <w:rFonts w:ascii="PT Astra Serif" w:hAnsi="PT Astra Serif" w:eastAsia="PT Astra Serif" w:cs="PT Astra Serif"/>
          <w:b/>
          <w:sz w:val="24"/>
          <w:szCs w:val="24"/>
        </w:rPr>
        <w:t xml:space="preserve">МОНИТОРИНГ на 30.03.2026</w:t>
      </w:r>
      <w:r>
        <w:rPr>
          <w:rFonts w:ascii="PT Astra Serif" w:hAnsi="PT Astra Serif" w:eastAsia="PT Astra Serif" w:cs="PT Astra Serif"/>
          <w:b/>
          <w:sz w:val="24"/>
          <w:szCs w:val="24"/>
        </w:rPr>
      </w:r>
      <w:r>
        <w:rPr>
          <w:rFonts w:ascii="PT Astra Serif" w:hAnsi="PT Astra Serif" w:cs="PT Astra Serif"/>
          <w:b/>
          <w:sz w:val="24"/>
          <w:szCs w:val="24"/>
        </w:rPr>
      </w:r>
    </w:p>
    <w:tbl>
      <w:tblPr>
        <w:tblStyle w:val="729"/>
        <w:tblW w:w="10064" w:type="dxa"/>
        <w:tblInd w:w="-6" w:type="dxa"/>
        <w:tblLayout w:type="fixed"/>
        <w:tblLook w:val="04A0" w:firstRow="1" w:lastRow="0" w:firstColumn="1" w:lastColumn="0" w:noHBand="0" w:noVBand="1"/>
      </w:tblPr>
      <w:tblGrid>
        <w:gridCol w:w="4541"/>
        <w:gridCol w:w="5523"/>
      </w:tblGrid>
      <w:tr>
        <w:tblPrEx/>
        <w:trPr>
          <w:trHeight w:val="164"/>
        </w:trPr>
        <w:tc>
          <w:tcPr>
            <w:gridSpan w:val="2"/>
            <w:tcW w:w="10064" w:type="dxa"/>
            <w:textDirection w:val="lrTb"/>
            <w:noWrap w:val="false"/>
          </w:tcPr>
          <w:p>
            <w:pPr>
              <w:pStyle w:val="877"/>
              <w:numPr>
                <w:ilvl w:val="0"/>
                <w:numId w:val="1"/>
              </w:numPr>
              <w:ind w:left="602" w:hanging="602"/>
              <w:jc w:val="both"/>
              <w:rPr>
                <w:rFonts w:ascii="PT Astra Serif" w:hAnsi="PT Astra Serif" w:cs="PT Astra Serif"/>
                <w:b/>
                <w:sz w:val="26"/>
                <w:szCs w:val="26"/>
                <w:shd w:val="clear" w:color="auto" w:fill="ffffff"/>
              </w:rPr>
            </w:pPr>
            <w:r>
              <w:rPr>
                <w:rFonts w:ascii="PT Astra Serif" w:hAnsi="PT Astra Serif" w:eastAsia="PT Astra Serif" w:cs="PT Astra Serif"/>
                <w:b/>
                <w:sz w:val="26"/>
                <w:szCs w:val="26"/>
                <w:shd w:val="clear" w:color="auto" w:fill="ffffff"/>
              </w:rPr>
              <w:t xml:space="preserve">Письмо Минстроя России от 24.02.2026 № 4024-ОГ/09</w:t>
            </w:r>
            <w:r>
              <w:rPr>
                <w:rFonts w:ascii="PT Astra Serif" w:hAnsi="PT Astra Serif" w:eastAsia="PT Astra Serif" w:cs="PT Astra Serif"/>
                <w:b/>
                <w:sz w:val="26"/>
                <w:szCs w:val="26"/>
                <w:shd w:val="clear" w:color="auto" w:fill="ffffff"/>
              </w:rPr>
            </w:r>
            <w:r>
              <w:rPr>
                <w:rFonts w:ascii="PT Astra Serif" w:hAnsi="PT Astra Serif" w:cs="PT Astra Serif"/>
                <w:b/>
                <w:sz w:val="26"/>
                <w:szCs w:val="26"/>
                <w:shd w:val="clear" w:color="auto" w:fill="ffffff"/>
              </w:rPr>
            </w:r>
          </w:p>
        </w:tc>
      </w:tr>
      <w:tr>
        <w:tblPrEx/>
        <w:trPr>
          <w:trHeight w:val="164"/>
        </w:trPr>
        <w:tc>
          <w:tcPr>
            <w:gridSpan w:val="2"/>
            <w:tcW w:w="10064" w:type="dxa"/>
            <w:textDirection w:val="lrTb"/>
            <w:noWrap w:val="false"/>
          </w:tcPr>
          <w:p>
            <w:pPr>
              <w:ind w:left="567" w:right="0" w:firstLine="0"/>
              <w:jc w:val="both"/>
              <w:shd w:val="nil" w:color="auto"/>
              <w:rPr>
                <w:rFonts w:ascii="PT Astra Serif" w:hAnsi="PT Astra Serif" w:cs="PT Astra Serif"/>
                <w:sz w:val="26"/>
                <w:szCs w:val="26"/>
                <w:highlight w:val="white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highlight w:val="white"/>
              </w:rPr>
              <w:t xml:space="preserve">Минстрой России разъяснил, как формировать сметную стоимость при внесении изменений в проектную документацию и проведении повторной государственной экспертизы</w:t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  <w14:ligatures w14:val="none"/>
              </w:rPr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  <w14:ligatures w14:val="none"/>
              </w:rPr>
            </w:r>
          </w:p>
        </w:tc>
      </w:tr>
      <w:tr>
        <w:tblPrEx/>
        <w:trPr>
          <w:trHeight w:val="164"/>
        </w:trPr>
        <w:tc>
          <w:tcPr>
            <w:gridSpan w:val="2"/>
            <w:tcW w:w="10064" w:type="dxa"/>
            <w:vMerge w:val="restart"/>
            <w:textDirection w:val="lrTb"/>
            <w:noWrap w:val="false"/>
          </w:tcPr>
          <w:p>
            <w:pPr>
              <w:pStyle w:val="877"/>
              <w:numPr>
                <w:ilvl w:val="0"/>
                <w:numId w:val="3"/>
              </w:numPr>
              <w:ind w:left="567" w:right="0" w:hanging="567"/>
              <w:jc w:val="both"/>
              <w:shd w:val="nil" w:color="000000"/>
              <w:rPr>
                <w:rFonts w:ascii="PT Astra Serif" w:hAnsi="PT Astra Serif" w:eastAsia="PT Astra Serif" w:cs="PT Astra Serif"/>
                <w:b/>
                <w:bCs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b/>
                <w:bCs/>
                <w:sz w:val="26"/>
                <w:szCs w:val="26"/>
              </w:rPr>
              <w:t xml:space="preserve">Судебная практика</w:t>
            </w:r>
            <w:r>
              <w:rPr>
                <w:rFonts w:ascii="PT Astra Serif" w:hAnsi="PT Astra Serif" w:eastAsia="PT Astra Serif" w:cs="PT Astra Serif"/>
                <w:b/>
                <w:bCs/>
                <w:sz w:val="26"/>
                <w:szCs w:val="26"/>
              </w:rPr>
            </w:r>
            <w:r>
              <w:rPr>
                <w:rFonts w:ascii="PT Astra Serif" w:hAnsi="PT Astra Serif" w:eastAsia="PT Astra Serif" w:cs="PT Astra Serif"/>
                <w:b/>
                <w:bCs/>
                <w:sz w:val="26"/>
                <w:szCs w:val="26"/>
              </w:rPr>
            </w:r>
            <w:r>
              <w:rPr>
                <w:rFonts w:ascii="PT Astra Serif" w:hAnsi="PT Astra Serif" w:eastAsia="PT Astra Serif" w:cs="PT Astra Serif"/>
                <w:b/>
                <w:bCs/>
                <w:sz w:val="26"/>
                <w:szCs w:val="26"/>
              </w:rPr>
            </w:r>
            <w:r>
              <w:rPr>
                <w:rFonts w:ascii="PT Astra Serif" w:hAnsi="PT Astra Serif" w:eastAsia="PT Astra Serif" w:cs="PT Astra Serif"/>
                <w:b/>
                <w:bCs/>
                <w:sz w:val="26"/>
                <w:szCs w:val="26"/>
              </w:rPr>
            </w:r>
          </w:p>
        </w:tc>
      </w:tr>
      <w:tr>
        <w:tblPrEx/>
        <w:trPr>
          <w:trHeight w:val="164"/>
        </w:trPr>
        <w:tc>
          <w:tcPr>
            <w:tcW w:w="4541" w:type="dxa"/>
            <w:vMerge w:val="restart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i/>
                <w:sz w:val="26"/>
                <w:szCs w:val="26"/>
              </w:rPr>
            </w:pPr>
            <w:r>
              <w:rPr>
                <w:rFonts w:ascii="PT Astra Serif" w:hAnsi="PT Astra Serif"/>
                <w:i/>
                <w:sz w:val="26"/>
                <w:szCs w:val="26"/>
              </w:rPr>
              <w:t xml:space="preserve">Определение Верховного</w:t>
            </w:r>
            <w:r>
              <w:rPr>
                <w:rFonts w:ascii="PT Astra Serif" w:hAnsi="PT Astra Serif"/>
                <w:i/>
                <w:sz w:val="26"/>
                <w:szCs w:val="26"/>
              </w:rPr>
              <w:t xml:space="preserve"> Суда Российской Федерации от 05</w:t>
            </w:r>
            <w:r>
              <w:rPr>
                <w:rFonts w:ascii="PT Astra Serif" w:hAnsi="PT Astra Serif"/>
                <w:i/>
                <w:sz w:val="26"/>
                <w:szCs w:val="26"/>
              </w:rPr>
              <w:t xml:space="preserve">.03.2026 </w:t>
            </w:r>
            <w:r>
              <w:rPr>
                <w:rFonts w:ascii="PT Astra Serif" w:hAnsi="PT Astra Serif"/>
                <w:i/>
                <w:sz w:val="26"/>
                <w:szCs w:val="26"/>
              </w:rPr>
              <w:t xml:space="preserve">№ 30</w:t>
            </w:r>
            <w:r>
              <w:rPr>
                <w:rFonts w:ascii="PT Astra Serif" w:hAnsi="PT Astra Serif"/>
                <w:i/>
                <w:sz w:val="26"/>
                <w:szCs w:val="26"/>
              </w:rPr>
              <w:t xml:space="preserve">8</w:t>
            </w:r>
            <w:r>
              <w:rPr>
                <w:rFonts w:ascii="PT Astra Serif" w:hAnsi="PT Astra Serif"/>
                <w:i/>
                <w:sz w:val="26"/>
                <w:szCs w:val="26"/>
              </w:rPr>
              <w:t xml:space="preserve">-ЭС26-</w:t>
            </w:r>
            <w:r>
              <w:rPr>
                <w:rFonts w:ascii="PT Astra Serif" w:hAnsi="PT Astra Serif"/>
                <w:i/>
                <w:sz w:val="26"/>
                <w:szCs w:val="26"/>
              </w:rPr>
              <w:t xml:space="preserve">1147 </w:t>
            </w:r>
            <w:r>
              <w:rPr>
                <w:rFonts w:ascii="PT Astra Serif" w:hAnsi="PT Astra Serif"/>
                <w:i/>
                <w:sz w:val="26"/>
                <w:szCs w:val="26"/>
              </w:rPr>
              <w:t xml:space="preserve">по делу № А</w:t>
            </w:r>
            <w:r>
              <w:rPr>
                <w:rFonts w:ascii="PT Astra Serif" w:hAnsi="PT Astra Serif"/>
                <w:i/>
                <w:sz w:val="26"/>
                <w:szCs w:val="26"/>
              </w:rPr>
              <w:t xml:space="preserve">01</w:t>
            </w:r>
            <w:r>
              <w:rPr>
                <w:rFonts w:ascii="PT Astra Serif" w:hAnsi="PT Astra Serif"/>
                <w:i/>
                <w:sz w:val="26"/>
                <w:szCs w:val="26"/>
              </w:rPr>
              <w:t xml:space="preserve">-</w:t>
            </w:r>
            <w:r>
              <w:rPr>
                <w:rFonts w:ascii="PT Astra Serif" w:hAnsi="PT Astra Serif"/>
                <w:i/>
                <w:sz w:val="26"/>
                <w:szCs w:val="26"/>
              </w:rPr>
              <w:t xml:space="preserve">3793</w:t>
            </w:r>
            <w:r>
              <w:rPr>
                <w:rFonts w:ascii="PT Astra Serif" w:hAnsi="PT Astra Serif"/>
                <w:i/>
                <w:sz w:val="26"/>
                <w:szCs w:val="26"/>
              </w:rPr>
              <w:t xml:space="preserve">/202</w:t>
            </w:r>
            <w:r>
              <w:rPr>
                <w:rFonts w:ascii="PT Astra Serif" w:hAnsi="PT Astra Serif"/>
                <w:i/>
                <w:sz w:val="26"/>
                <w:szCs w:val="26"/>
              </w:rPr>
              <w:t xml:space="preserve">4</w:t>
            </w:r>
            <w:r>
              <w:rPr>
                <w:rFonts w:ascii="PT Astra Serif" w:hAnsi="PT Astra Serif"/>
                <w:i/>
                <w:sz w:val="26"/>
                <w:szCs w:val="26"/>
              </w:rPr>
            </w:r>
            <w:r>
              <w:rPr>
                <w:rFonts w:ascii="PT Astra Serif" w:hAnsi="PT Astra Serif"/>
                <w:i/>
                <w:sz w:val="26"/>
                <w:szCs w:val="26"/>
              </w:rPr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  <w:r>
              <w:rPr>
                <w:rFonts w:ascii="PT Astra Serif" w:hAnsi="PT Astra Serif"/>
                <w:i/>
                <w:sz w:val="26"/>
                <w:szCs w:val="26"/>
              </w:rPr>
            </w:r>
          </w:p>
        </w:tc>
        <w:tc>
          <w:tcPr>
            <w:tcW w:w="5523" w:type="dxa"/>
            <w:vMerge w:val="restart"/>
            <w:textDirection w:val="lrTb"/>
            <w:noWrap w:val="false"/>
          </w:tcPr>
          <w:p>
            <w:pPr>
              <w:jc w:val="both"/>
              <w:shd w:val="nil" w:color="000000"/>
              <w:rPr>
                <w:rFonts w:ascii="PT Astra Serif" w:hAnsi="PT Astra Serif" w:eastAsia="PT Astra Serif" w:cs="PT Astra Serif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  <w:r>
              <w:rPr>
                <w:rFonts w:ascii="PT Astra Serif" w:hAnsi="PT Astra Serif" w:eastAsiaTheme="minorHAnsi" w:cstheme="minorBidi"/>
                <w:sz w:val="26"/>
                <w:szCs w:val="26"/>
                <w:lang w:eastAsia="en-US"/>
              </w:rPr>
              <w:t xml:space="preserve">Необходим</w:t>
            </w:r>
            <w:r>
              <w:rPr>
                <w:rFonts w:ascii="PT Astra Serif" w:hAnsi="PT Astra Serif" w:eastAsiaTheme="minorHAnsi" w:cstheme="minorBidi"/>
                <w:sz w:val="26"/>
                <w:szCs w:val="26"/>
                <w:lang w:eastAsia="en-US"/>
              </w:rPr>
              <w:t xml:space="preserve">ость внесения изменения в </w:t>
            </w:r>
            <w:r>
              <w:rPr>
                <w:rFonts w:ascii="PT Astra Serif" w:hAnsi="PT Astra Serif" w:eastAsiaTheme="minorHAnsi" w:cstheme="minorBidi"/>
                <w:sz w:val="26"/>
                <w:szCs w:val="26"/>
                <w:lang w:eastAsia="en-US"/>
              </w:rPr>
              <w:t xml:space="preserve">проект контракта</w:t>
            </w:r>
            <w:r>
              <w:rPr>
                <w:rFonts w:ascii="PT Astra Serif" w:hAnsi="PT Astra Serif" w:eastAsiaTheme="minorHAnsi" w:cstheme="minorBidi"/>
                <w:sz w:val="26"/>
                <w:szCs w:val="26"/>
                <w:lang w:eastAsia="en-US"/>
              </w:rPr>
              <w:t xml:space="preserve">, требующего приобретени</w:t>
            </w:r>
            <w:r>
              <w:rPr>
                <w:rFonts w:ascii="PT Astra Serif" w:hAnsi="PT Astra Serif" w:eastAsiaTheme="minorHAnsi" w:cstheme="minorBidi"/>
                <w:sz w:val="26"/>
                <w:szCs w:val="26"/>
                <w:lang w:eastAsia="en-US"/>
              </w:rPr>
              <w:t xml:space="preserve">я </w:t>
            </w:r>
            <w:r>
              <w:rPr>
                <w:rFonts w:ascii="PT Astra Serif" w:hAnsi="PT Astra Serif" w:eastAsiaTheme="minorHAnsi" w:cstheme="minorBidi"/>
                <w:sz w:val="26"/>
                <w:szCs w:val="26"/>
                <w:lang w:eastAsia="en-US"/>
              </w:rPr>
              <w:t xml:space="preserve">подрядчиком дополнительных материалов, не является основанием для установления аванса, так как </w:t>
            </w:r>
            <w:r>
              <w:rPr>
                <w:rFonts w:ascii="PT Astra Serif" w:hAnsi="PT Astra Serif" w:eastAsiaTheme="minorHAnsi" w:cstheme="minorBidi"/>
                <w:sz w:val="26"/>
                <w:szCs w:val="26"/>
                <w:lang w:eastAsia="en-US"/>
              </w:rPr>
              <w:t xml:space="preserve">не </w:t>
            </w:r>
            <w:r>
              <w:rPr>
                <w:rFonts w:ascii="PT Astra Serif" w:hAnsi="PT Astra Serif" w:eastAsiaTheme="minorHAnsi" w:cstheme="minorBidi"/>
                <w:sz w:val="26"/>
                <w:szCs w:val="26"/>
                <w:lang w:eastAsia="en-US"/>
              </w:rPr>
              <w:t xml:space="preserve">относ</w:t>
            </w:r>
            <w:r>
              <w:rPr>
                <w:rFonts w:ascii="PT Astra Serif" w:hAnsi="PT Astra Serif" w:eastAsiaTheme="minorHAnsi" w:cstheme="minorBidi"/>
                <w:sz w:val="26"/>
                <w:szCs w:val="26"/>
                <w:lang w:eastAsia="en-US"/>
              </w:rPr>
              <w:t xml:space="preserve">и</w:t>
            </w:r>
            <w:r>
              <w:rPr>
                <w:rFonts w:ascii="PT Astra Serif" w:hAnsi="PT Astra Serif" w:eastAsiaTheme="minorHAnsi" w:cstheme="minorBidi"/>
                <w:sz w:val="26"/>
                <w:szCs w:val="26"/>
                <w:lang w:eastAsia="en-US"/>
              </w:rPr>
              <w:t xml:space="preserve">тся к обстоятельствам,</w:t>
            </w:r>
            <w:r>
              <w:rPr>
                <w:rFonts w:ascii="PT Astra Serif" w:hAnsi="PT Astra Serif" w:eastAsiaTheme="minorHAnsi" w:cstheme="minorBidi"/>
                <w:sz w:val="26"/>
                <w:szCs w:val="26"/>
                <w:lang w:eastAsia="en-US"/>
              </w:rPr>
              <w:t xml:space="preserve"> независящим от воли сторон, влекущим невозможность </w:t>
            </w:r>
            <w:r>
              <w:rPr>
                <w:rFonts w:ascii="PT Astra Serif" w:hAnsi="PT Astra Serif" w:eastAsiaTheme="minorHAnsi" w:cstheme="minorBidi"/>
                <w:sz w:val="26"/>
                <w:szCs w:val="26"/>
                <w:lang w:eastAsia="en-US"/>
              </w:rPr>
              <w:t xml:space="preserve">исполнения контракта</w:t>
            </w:r>
            <w:r/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</w:p>
        </w:tc>
      </w:tr>
      <w:tr>
        <w:tblPrEx/>
        <w:trPr>
          <w:trHeight w:val="164"/>
        </w:trPr>
        <w:tc>
          <w:tcPr>
            <w:tcW w:w="4541" w:type="dxa"/>
            <w:vMerge w:val="restart"/>
            <w:textDirection w:val="lrTb"/>
            <w:noWrap w:val="false"/>
          </w:tcPr>
          <w:p>
            <w:pPr>
              <w:ind w:left="0" w:right="0" w:firstLine="0"/>
              <w:jc w:val="both"/>
              <w:shd w:val="nil" w:color="000000"/>
              <w:rPr>
                <w:rFonts w:ascii="PT Astra Serif" w:hAnsi="PT Astra Serif" w:eastAsia="PT Astra Serif" w:cs="PT Astra Serif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  <w:r>
              <w:rPr>
                <w:rFonts w:ascii="PT Astra Serif" w:hAnsi="PT Astra Serif"/>
                <w:i/>
                <w:sz w:val="26"/>
                <w:szCs w:val="26"/>
              </w:rPr>
              <w:t xml:space="preserve">Постановление Арбитражного суда Западно-Сибирского </w:t>
            </w:r>
            <w:r>
              <w:rPr>
                <w:rFonts w:ascii="PT Astra Serif" w:hAnsi="PT Astra Serif"/>
                <w:i/>
                <w:sz w:val="26"/>
                <w:szCs w:val="26"/>
              </w:rPr>
              <w:t xml:space="preserve">округа  от</w:t>
            </w:r>
            <w:r>
              <w:rPr>
                <w:rFonts w:ascii="PT Astra Serif" w:hAnsi="PT Astra Serif"/>
                <w:i/>
                <w:sz w:val="26"/>
                <w:szCs w:val="26"/>
              </w:rPr>
              <w:t xml:space="preserve"> 13</w:t>
            </w:r>
            <w:r>
              <w:rPr>
                <w:rFonts w:ascii="PT Astra Serif" w:hAnsi="PT Astra Serif"/>
                <w:i/>
                <w:sz w:val="26"/>
                <w:szCs w:val="26"/>
              </w:rPr>
              <w:t xml:space="preserve">.03.2026 </w:t>
            </w:r>
            <w:r>
              <w:rPr>
                <w:rFonts w:ascii="PT Astra Serif" w:hAnsi="PT Astra Serif"/>
                <w:i/>
                <w:sz w:val="26"/>
                <w:szCs w:val="26"/>
              </w:rPr>
              <w:t xml:space="preserve">по делу № А</w:t>
            </w:r>
            <w:r>
              <w:rPr>
                <w:rFonts w:ascii="PT Astra Serif" w:hAnsi="PT Astra Serif"/>
                <w:i/>
                <w:sz w:val="26"/>
                <w:szCs w:val="26"/>
              </w:rPr>
              <w:t xml:space="preserve">70</w:t>
            </w:r>
            <w:r>
              <w:rPr>
                <w:rFonts w:ascii="PT Astra Serif" w:hAnsi="PT Astra Serif"/>
                <w:i/>
                <w:sz w:val="26"/>
                <w:szCs w:val="26"/>
              </w:rPr>
              <w:t xml:space="preserve">-</w:t>
            </w:r>
            <w:r>
              <w:rPr>
                <w:rFonts w:ascii="PT Astra Serif" w:hAnsi="PT Astra Serif"/>
                <w:i/>
                <w:sz w:val="26"/>
                <w:szCs w:val="26"/>
              </w:rPr>
              <w:t xml:space="preserve">7128</w:t>
            </w:r>
            <w:r>
              <w:rPr>
                <w:rFonts w:ascii="PT Astra Serif" w:hAnsi="PT Astra Serif"/>
                <w:i/>
                <w:sz w:val="26"/>
                <w:szCs w:val="26"/>
              </w:rPr>
              <w:t xml:space="preserve">/202</w:t>
            </w:r>
            <w:r>
              <w:rPr>
                <w:rFonts w:ascii="PT Astra Serif" w:hAnsi="PT Astra Serif"/>
                <w:i/>
                <w:sz w:val="26"/>
                <w:szCs w:val="26"/>
              </w:rPr>
              <w:t xml:space="preserve">5</w:t>
            </w:r>
            <w:r/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</w:p>
        </w:tc>
        <w:tc>
          <w:tcPr>
            <w:tcW w:w="5523" w:type="dxa"/>
            <w:vMerge w:val="restart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Theme="minorHAnsi" w:cstheme="minorBidi"/>
                <w:sz w:val="26"/>
                <w:szCs w:val="26"/>
                <w:highlight w:val="none"/>
                <w:lang w:eastAsia="en-US"/>
              </w:rPr>
            </w:pPr>
            <w:r>
              <w:rPr>
                <w:rFonts w:ascii="PT Astra Serif" w:hAnsi="PT Astra Serif" w:eastAsiaTheme="minorHAnsi" w:cstheme="minorBidi"/>
                <w:sz w:val="26"/>
                <w:szCs w:val="26"/>
                <w:highlight w:val="none"/>
                <w:lang w:eastAsia="en-US"/>
              </w:rPr>
              <w:t xml:space="preserve">Заказчик правомерно учел сопоставимость предмета контракта и опыта участников закупки </w:t>
            </w:r>
            <w:r>
              <w:rPr>
                <w:rFonts w:ascii="PT Astra Serif" w:hAnsi="PT Astra Serif" w:eastAsiaTheme="minorHAnsi" w:cstheme="minorBidi"/>
                <w:sz w:val="26"/>
                <w:szCs w:val="26"/>
                <w:highlight w:val="none"/>
                <w:lang w:eastAsia="en-US"/>
              </w:rPr>
              <w:t xml:space="preserve">в целях применения Постановления правительства Российской Федерации № 2604 и отбора наиболее профессионального участника для исполнения контракта</w:t>
            </w:r>
            <w:r>
              <w:rPr>
                <w:rFonts w:ascii="PT Astra Serif" w:hAnsi="PT Astra Serif" w:eastAsiaTheme="minorHAnsi" w:cstheme="minorBidi"/>
                <w:sz w:val="26"/>
                <w:szCs w:val="26"/>
                <w:highlight w:val="none"/>
                <w:lang w:eastAsia="en-US"/>
              </w:rPr>
            </w:r>
            <w:r>
              <w:rPr>
                <w:rFonts w:ascii="PT Astra Serif" w:hAnsi="PT Astra Serif" w:eastAsiaTheme="minorHAnsi" w:cstheme="minorBidi"/>
                <w:sz w:val="26"/>
                <w:szCs w:val="26"/>
                <w:highlight w:val="none"/>
                <w:lang w:eastAsia="en-US"/>
              </w:rPr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  <w:r>
              <w:rPr>
                <w:rFonts w:ascii="PT Astra Serif" w:hAnsi="PT Astra Serif" w:eastAsiaTheme="minorHAnsi" w:cstheme="minorBidi"/>
                <w:sz w:val="26"/>
                <w:szCs w:val="26"/>
                <w:highlight w:val="none"/>
                <w:lang w:eastAsia="en-US"/>
              </w:rPr>
            </w:r>
          </w:p>
        </w:tc>
      </w:tr>
      <w:tr>
        <w:tblPrEx/>
        <w:trPr>
          <w:trHeight w:val="164"/>
        </w:trPr>
        <w:tc>
          <w:tcPr>
            <w:tcW w:w="4541" w:type="dxa"/>
            <w:vMerge w:val="restart"/>
            <w:textDirection w:val="lrTb"/>
            <w:noWrap w:val="false"/>
          </w:tcPr>
          <w:p>
            <w:pPr>
              <w:ind w:left="0" w:right="0" w:firstLine="0"/>
              <w:jc w:val="both"/>
              <w:shd w:val="nil" w:color="000000"/>
              <w:rPr>
                <w:rFonts w:ascii="PT Astra Serif" w:hAnsi="PT Astra Serif" w:eastAsia="PT Astra Serif" w:cs="PT Astra Serif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  <w:r>
              <w:rPr>
                <w:rFonts w:ascii="PT Astra Serif" w:hAnsi="PT Astra Serif" w:eastAsia="PT Astra Serif" w:cs="PT Astra Serif"/>
                <w:i/>
                <w:iCs/>
                <w:color w:val="000000" w:themeColor="text1"/>
                <w:sz w:val="26"/>
                <w:szCs w:val="26"/>
                <w:lang w:eastAsia="ru-RU"/>
              </w:rPr>
              <w:t xml:space="preserve">Постановление Арбитражного суда </w:t>
            </w:r>
            <w:r>
              <w:rPr>
                <w:rFonts w:ascii="PT Astra Serif" w:hAnsi="PT Astra Serif" w:eastAsia="PT Astra Serif" w:cs="PT Astra Serif"/>
                <w:i/>
                <w:iCs/>
                <w:color w:val="000000" w:themeColor="text1"/>
                <w:sz w:val="26"/>
                <w:szCs w:val="26"/>
                <w:lang w:eastAsia="ru-RU"/>
              </w:rPr>
              <w:t xml:space="preserve">Западно-Сибирского</w:t>
            </w:r>
            <w:r>
              <w:rPr>
                <w:rFonts w:ascii="PT Astra Serif" w:hAnsi="PT Astra Serif" w:eastAsia="PT Astra Serif" w:cs="PT Astra Serif"/>
                <w:i/>
                <w:iCs/>
                <w:color w:val="000000" w:themeColor="text1"/>
                <w:sz w:val="26"/>
                <w:szCs w:val="26"/>
                <w:lang w:eastAsia="ru-RU"/>
              </w:rPr>
              <w:t xml:space="preserve"> округа от 16.03.2026 по делу № А67-5233/2025</w:t>
            </w:r>
            <w:r>
              <w:rPr>
                <w:rFonts w:eastAsia="Times New Roman" w:cs="Times New Roman"/>
                <w:i/>
                <w:iCs/>
                <w:sz w:val="26"/>
                <w:szCs w:val="26"/>
                <w:lang w:eastAsia="ru-RU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</w:p>
        </w:tc>
        <w:tc>
          <w:tcPr>
            <w:tcW w:w="5523" w:type="dxa"/>
            <w:vMerge w:val="restart"/>
            <w:textDirection w:val="lrTb"/>
            <w:noWrap w:val="false"/>
          </w:tcPr>
          <w:p>
            <w:pPr>
              <w:jc w:val="both"/>
              <w:shd w:val="nil"/>
              <w:rPr>
                <w:rFonts w:ascii="PT Astra Serif" w:hAnsi="PT Astra Serif" w:cs="PT Astra Serif"/>
                <w:sz w:val="26"/>
                <w:szCs w:val="26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Суд признал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 требование Заказчика о наличии у участника закупки 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одновременно 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членства СРО в области инженерных изысканий и архитектурно-строительного проектирования правомерным и обо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снованным, поскольку предмет закупки включает в себя оба вида работ, каждый из которых требует соответствующего допуска согласно 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ГрК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 РФ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</w:p>
        </w:tc>
      </w:tr>
    </w:tbl>
    <w:p>
      <w:pPr>
        <w:jc w:val="both"/>
        <w:spacing w:after="0" w:line="240" w:lineRule="auto"/>
        <w:rPr>
          <w:rFonts w:ascii="PT Astra Serif" w:hAnsi="PT Astra Serif" w:cs="PT Astra Serif"/>
          <w:i/>
          <w:sz w:val="26"/>
          <w:szCs w:val="26"/>
          <w:highlight w:val="yellow"/>
        </w:rPr>
      </w:pPr>
      <w:r>
        <w:rPr>
          <w:rFonts w:ascii="PT Astra Serif" w:hAnsi="PT Astra Serif" w:eastAsia="PT Astra Serif" w:cs="PT Astra Serif"/>
          <w:i/>
          <w:sz w:val="26"/>
          <w:szCs w:val="26"/>
          <w:highlight w:val="yellow"/>
        </w:rPr>
      </w:r>
      <w:r>
        <w:rPr>
          <w:rFonts w:ascii="PT Astra Serif" w:hAnsi="PT Astra Serif" w:eastAsia="PT Astra Serif" w:cs="PT Astra Serif"/>
          <w:i/>
          <w:sz w:val="26"/>
          <w:szCs w:val="26"/>
          <w:highlight w:val="yellow"/>
        </w:rPr>
      </w:r>
      <w:r>
        <w:rPr>
          <w:rFonts w:ascii="PT Astra Serif" w:hAnsi="PT Astra Serif" w:cs="PT Astra Serif"/>
          <w:i/>
          <w:sz w:val="26"/>
          <w:szCs w:val="26"/>
          <w:highlight w:val="yellow"/>
        </w:rPr>
      </w:r>
    </w:p>
    <w:p>
      <w:pPr>
        <w:ind w:firstLine="709"/>
        <w:jc w:val="both"/>
        <w:spacing w:after="0" w:line="240" w:lineRule="auto"/>
        <w:rPr>
          <w:rFonts w:ascii="PT Astra Serif" w:hAnsi="PT Astra Serif" w:eastAsia="PT Astra Serif" w:cs="PT Astra Serif"/>
          <w:bCs/>
          <w:i/>
          <w:sz w:val="26"/>
          <w:szCs w:val="26"/>
          <w:highlight w:val="none"/>
        </w:rPr>
      </w:pPr>
      <w:r>
        <w:rPr>
          <w:rFonts w:ascii="PT Astra Serif" w:hAnsi="PT Astra Serif" w:eastAsia="PT Astra Serif" w:cs="PT Astra Serif"/>
          <w:i/>
          <w:sz w:val="26"/>
          <w:szCs w:val="26"/>
        </w:rPr>
        <w:t xml:space="preserve">Письмо Минстроя России от 24.02.2026 № 4024-ОГ/09</w:t>
      </w:r>
      <w:r>
        <w:rPr>
          <w:rFonts w:ascii="PT Astra Serif" w:hAnsi="PT Astra Serif" w:eastAsia="PT Astra Serif" w:cs="PT Astra Serif"/>
          <w:i/>
          <w:sz w:val="26"/>
          <w:szCs w:val="26"/>
        </w:rPr>
      </w:r>
      <w:r>
        <w:rPr>
          <w:rFonts w:ascii="PT Astra Serif" w:hAnsi="PT Astra Serif" w:eastAsia="PT Astra Serif" w:cs="PT Astra Serif"/>
          <w:bCs/>
          <w:i/>
          <w:sz w:val="26"/>
          <w:szCs w:val="26"/>
          <w:highlight w:val="none"/>
        </w:rPr>
      </w:r>
    </w:p>
    <w:p>
      <w:pPr>
        <w:contextualSpacing w:val="0"/>
        <w:ind w:firstLine="709"/>
        <w:jc w:val="both"/>
        <w:spacing w:before="0" w:after="0" w:line="283" w:lineRule="exact"/>
        <w:shd w:val="nil" w:color="auto"/>
        <w:rPr>
          <w:rFonts w:ascii="PT Astra Serif" w:hAnsi="PT Astra Serif" w:eastAsia="PT Astra Serif" w:cs="PT Astra Serif"/>
          <w:sz w:val="26"/>
          <w:szCs w:val="26"/>
          <w:highlight w:val="white"/>
          <w14:ligatures w14:val="none"/>
        </w:rPr>
        <w:suppressLineNumbers w:val="0"/>
      </w:pP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Минстрой России разъяснил, как формировать сметную стоимость при внесении изменений в проектную документацию и проведении повторной государственной экспертизы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.</w:t>
      </w:r>
      <w:r>
        <w:rPr>
          <w:rFonts w:ascii="PT Astra Serif" w:hAnsi="PT Astra Serif" w:cs="PT Astra Serif"/>
          <w:sz w:val="26"/>
          <w:szCs w:val="26"/>
          <w:highlight w:val="none"/>
          <w14:ligatures w14:val="none"/>
        </w:rPr>
      </w:r>
      <w:r>
        <w:rPr>
          <w:rFonts w:ascii="PT Astra Serif" w:hAnsi="PT Astra Serif" w:eastAsia="PT Astra Serif" w:cs="PT Astra Serif"/>
          <w:sz w:val="26"/>
          <w:szCs w:val="26"/>
          <w:highlight w:val="white"/>
          <w14:ligatures w14:val="none"/>
        </w:rPr>
      </w:r>
    </w:p>
    <w:p>
      <w:pPr>
        <w:contextualSpacing w:val="0"/>
        <w:ind w:firstLine="709"/>
        <w:jc w:val="both"/>
        <w:spacing w:before="0" w:after="0" w:line="283" w:lineRule="exact"/>
        <w:shd w:val="nil" w:color="000000"/>
        <w:rPr>
          <w:rFonts w:ascii="PT Astra Serif" w:hAnsi="PT Astra Serif" w:cs="PT Astra Serif"/>
          <w:sz w:val="26"/>
          <w:szCs w:val="26"/>
          <w:highlight w:val="none"/>
          <w14:ligatures w14:val="none"/>
        </w:rPr>
        <w:suppressLineNumbers w:val="0"/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</w:r>
      <w:r>
        <w:rPr>
          <w:rFonts w:ascii="PT Astra Serif" w:hAnsi="PT Astra Serif" w:eastAsia="PT Astra Serif" w:cs="PT Astra Serif"/>
          <w:sz w:val="26"/>
          <w:szCs w:val="26"/>
        </w:rPr>
        <w:t xml:space="preserve">Определение сметной стоимости строительства на этапе архитектурно-строительного проектирования по объектам, финансируемым в порядке, установленном частью 1 статьи 8.3 Градостроительного кодекса Российской Федерации (далее - ГрК РФ), осуществляется с обязат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ельным применением сметных нормативов, сведения о которых включены в федеральный реестр сметных нормативов (далее - ФРСН), и сметных цен строительных ресурсов. В иных случаях сметная стоимость строительства определяется с применением сметных нормативов, св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едения о которых включены в ФРСН, и сметных цен строительных ресурсов, если это предусмотрено федеральным законом или договором.</w:t>
      </w:r>
      <w:r>
        <w:rPr>
          <w:rFonts w:ascii="PT Astra Serif" w:hAnsi="PT Astra Serif" w:cs="PT Astra Serif"/>
          <w:sz w:val="26"/>
          <w:szCs w:val="26"/>
          <w:highlight w:val="none"/>
          <w14:ligatures w14:val="none"/>
        </w:rPr>
      </w:r>
      <w:r>
        <w:rPr>
          <w:rFonts w:ascii="PT Astra Serif" w:hAnsi="PT Astra Serif" w:cs="PT Astra Serif"/>
          <w:sz w:val="26"/>
          <w:szCs w:val="26"/>
          <w:highlight w:val="none"/>
          <w14:ligatures w14:val="none"/>
        </w:rPr>
      </w:r>
    </w:p>
    <w:p>
      <w:pPr>
        <w:contextualSpacing w:val="0"/>
        <w:ind w:firstLine="709"/>
        <w:jc w:val="both"/>
        <w:spacing w:before="0" w:after="0" w:line="283" w:lineRule="exact"/>
        <w:shd w:val="nil" w:color="000000"/>
        <w:rPr>
          <w:rFonts w:ascii="PT Astra Serif" w:hAnsi="PT Astra Serif" w:cs="PT Astra Serif"/>
          <w:sz w:val="26"/>
          <w:szCs w:val="26"/>
          <w14:ligatures w14:val="none"/>
        </w:rPr>
        <w:suppressLineNumbers w:val="0"/>
      </w:pP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  <w:t xml:space="preserve">Указанная сметная стоимость строительства используется при формировании начальной (максимальной) цены контрактов, цены контрактов, заключаемых с единственным поставщиком (подрядчиком, исполнителем), предметом которых является выполнение работ по строительс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тву, реконструкции, капитальному ремонту, сносу объектов капитального строительства, сохранению объектов культурного наследия. При этом сметные нормативы и сметные цены строительных ресурсов, использованные при определении сметной стоимости строительства,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не подлежат применению при исполнении указанных контрактов или договоров.</w:t>
      </w:r>
      <w:r>
        <w:rPr>
          <w:rFonts w:ascii="PT Astra Serif" w:hAnsi="PT Astra Serif" w:cs="PT Astra Serif"/>
          <w:sz w:val="26"/>
          <w:szCs w:val="26"/>
          <w14:ligatures w14:val="none"/>
        </w:rPr>
      </w:r>
      <w:r>
        <w:rPr>
          <w:rFonts w:ascii="PT Astra Serif" w:hAnsi="PT Astra Serif" w:cs="PT Astra Serif"/>
          <w:sz w:val="26"/>
          <w:szCs w:val="26"/>
          <w14:ligatures w14:val="none"/>
        </w:rPr>
      </w:r>
    </w:p>
    <w:p>
      <w:pPr>
        <w:contextualSpacing w:val="0"/>
        <w:ind w:firstLine="709"/>
        <w:jc w:val="both"/>
        <w:spacing w:before="0" w:after="0" w:line="283" w:lineRule="exact"/>
        <w:shd w:val="nil" w:color="auto"/>
        <w:rPr>
          <w:rFonts w:ascii="PT Astra Serif" w:hAnsi="PT Astra Serif" w:cs="PT Astra Serif"/>
          <w:sz w:val="26"/>
          <w:szCs w:val="26"/>
          <w14:ligatures w14:val="none"/>
        </w:rPr>
        <w:suppressLineNumbers w:val="0"/>
      </w:pPr>
      <w:r>
        <w:rPr>
          <w:rFonts w:ascii="PT Astra Serif" w:hAnsi="PT Astra Serif" w:eastAsia="PT Astra Serif" w:cs="PT Astra Serif"/>
          <w:sz w:val="26"/>
          <w:szCs w:val="26"/>
        </w:rPr>
        <w:t xml:space="preserve">Порядок внесения изменений в смету контракта, в случае внесения изменений в проектную документацию, предусмотрен пунктами 9 - 12 Методики составления сметы контракта, предметом которого являются строительство, реконструкция объектов капитального строительс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тва, утвержденной приказом Минстроя России от 23 декабря 2019 г. № 841/пр (далее - Методика № 841/пр).</w:t>
      </w: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  <w14:ligatures w14:val="none"/>
        </w:rPr>
      </w:r>
    </w:p>
    <w:p>
      <w:pPr>
        <w:contextualSpacing w:val="0"/>
        <w:ind w:firstLine="709"/>
        <w:jc w:val="both"/>
        <w:spacing w:before="0" w:after="0" w:line="283" w:lineRule="exact"/>
        <w:shd w:val="nil" w:color="auto"/>
        <w:rPr>
          <w:rFonts w:ascii="PT Astra Serif" w:hAnsi="PT Astra Serif" w:cs="PT Astra Serif"/>
          <w:sz w:val="26"/>
          <w:szCs w:val="26"/>
          <w14:ligatures w14:val="none"/>
        </w:rPr>
        <w:suppressLineNumbers w:val="0"/>
      </w:pPr>
      <w:r>
        <w:rPr>
          <w:rFonts w:ascii="PT Astra Serif" w:hAnsi="PT Astra Serif" w:eastAsia="PT Astra Serif" w:cs="PT Astra Serif"/>
          <w:sz w:val="26"/>
          <w:szCs w:val="26"/>
        </w:rPr>
        <w:t xml:space="preserve">Согласно пункту 9 Методики № 841/пр в случае внесения изменений в проектную документацию, влекущих изменение объемов конструктивного решения (элемента), комплекса (вида) работ, количества оборудования, предусмотренных сметой контракта, общая стоимость соот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ветствующего конструктивного решения (элемента), комплекса (вида) работ, оборудования определяется исходя из установленной в смете контракта цены единицы измерения данного конструктивного решения (элемента), комплекса (вида) работ, оборудования с учетом вн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есенных изменений.</w:t>
      </w: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  <w14:ligatures w14:val="none"/>
        </w:rPr>
      </w:r>
    </w:p>
    <w:p>
      <w:pPr>
        <w:contextualSpacing w:val="0"/>
        <w:ind w:firstLine="709"/>
        <w:jc w:val="both"/>
        <w:spacing w:before="0" w:after="0" w:line="283" w:lineRule="exact"/>
        <w:shd w:val="nil" w:color="auto"/>
        <w:rPr>
          <w:rFonts w:ascii="PT Astra Serif" w:hAnsi="PT Astra Serif" w:cs="PT Astra Serif"/>
          <w:sz w:val="26"/>
          <w:szCs w:val="26"/>
          <w14:ligatures w14:val="none"/>
        </w:rPr>
        <w:suppressLineNumbers w:val="0"/>
      </w:pPr>
      <w:r>
        <w:rPr>
          <w:rFonts w:ascii="PT Astra Serif" w:hAnsi="PT Astra Serif" w:eastAsia="PT Astra Serif" w:cs="PT Astra Serif"/>
          <w:sz w:val="26"/>
          <w:szCs w:val="26"/>
        </w:rPr>
        <w:t xml:space="preserve">Согласно положениям пунктов 10, 10.1 Методики № 841/пр в случае внесения изменений в проектную документацию в связи с включением в нее ранее не предусмотренных такой проектной документацией видов работ и (или) затрат, в связи с корректировкой видов и объем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ов работ, производство которых необходимо для возведения (устройства) конструктивных элементов зданий (сооружений) и (или) выполнения комплексов (видов) работ, предусмотренных сметой контракта, а также в случае замены материалов и (или) оборудования на ана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логи без изменения их объема, цена таких работ и (или) затрат определяется в уровне цен на дату утверждения проектной документации, получившей положительное заключение государственной экспертизы проектной документации, или проектной документации, изменения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 в которую внесены в соответствии с частью 3.8 статьи 49 ГрК, включающей такие работы и (или) затраты.</w:t>
      </w: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  <w14:ligatures w14:val="none"/>
        </w:rPr>
      </w:r>
    </w:p>
    <w:p>
      <w:pPr>
        <w:contextualSpacing w:val="0"/>
        <w:ind w:firstLine="709"/>
        <w:jc w:val="both"/>
        <w:spacing w:before="0" w:after="0" w:line="283" w:lineRule="exact"/>
        <w:shd w:val="nil" w:color="auto"/>
        <w:rPr>
          <w:rFonts w:ascii="PT Astra Serif" w:hAnsi="PT Astra Serif" w:cs="PT Astra Serif"/>
          <w:sz w:val="26"/>
          <w:szCs w:val="26"/>
          <w14:ligatures w14:val="none"/>
        </w:rPr>
        <w:suppressLineNumbers w:val="0"/>
      </w:pPr>
      <w:r>
        <w:rPr>
          <w:rFonts w:ascii="PT Astra Serif" w:hAnsi="PT Astra Serif" w:eastAsia="PT Astra Serif" w:cs="PT Astra Serif"/>
          <w:sz w:val="26"/>
          <w:szCs w:val="26"/>
        </w:rPr>
        <w:t xml:space="preserve">Цена работ, ранее не предусмотренных проектной документацией, или откорректированных видов и объемов работ, а также замененных материалов и (или) оборудования на аналоги без изменения их объема определяется в уровне цен, в котором была соста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влена и утверждена сметная документация, включающая такие работы и (или) затраты, с учетом индексов прогнозной инфляции, действующих на дату утверждения проектной документации, определяемых от уровня цен, в котором была составлена и утверждена такая сметна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я документация, с учетом сроков реализации контракта (К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инф.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) и коэффициента снижения начальной (максимальной) цены контракта, определенного по результатам закупочных процедур (К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тенд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.).</w:t>
      </w: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  <w14:ligatures w14:val="none"/>
        </w:rPr>
      </w:r>
    </w:p>
    <w:p>
      <w:pPr>
        <w:contextualSpacing w:val="0"/>
        <w:ind w:firstLine="709"/>
        <w:jc w:val="both"/>
        <w:spacing w:before="0" w:after="0" w:line="283" w:lineRule="exact"/>
        <w:shd w:val="nil" w:color="auto"/>
        <w:rPr>
          <w:rFonts w:ascii="PT Astra Serif" w:hAnsi="PT Astra Serif" w:cs="PT Astra Serif"/>
          <w:sz w:val="26"/>
          <w:szCs w:val="26"/>
          <w14:ligatures w14:val="none"/>
        </w:rPr>
        <w:suppressLineNumbers w:val="0"/>
      </w:pPr>
      <w:r>
        <w:rPr>
          <w:rFonts w:ascii="PT Astra Serif" w:hAnsi="PT Astra Serif" w:eastAsia="PT Astra Serif" w:cs="PT Astra Serif"/>
          <w:sz w:val="26"/>
          <w:szCs w:val="26"/>
        </w:rPr>
        <w:t xml:space="preserve">Методикой определения сметной стоимости строительства, реконструкции и капитального ремонта, сноса объектов капитального строительства, работ по сохранению объектов культурного наследия (памятников истории и культуры) народов Российской Федерации на террит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ории Российской Федерации, утвержденной приказом Минстроя России от 4 августа 2020 г. № 421/пр (далее - Методика № 421/пр), установлены единые методы формирования сметной стоимости строительства, реконструкции, капитального ремонта, сноса объектов капиталь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ного строительства, работ по сохранению объектов культурного наследия на этапе архитектурно-строительного проектирования, подготовки сметы на снос объекта капитального строительства.</w:t>
      </w: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  <w14:ligatures w14:val="none"/>
        </w:rPr>
      </w:r>
    </w:p>
    <w:p>
      <w:pPr>
        <w:contextualSpacing w:val="0"/>
        <w:ind w:firstLine="709"/>
        <w:jc w:val="both"/>
        <w:spacing w:before="0" w:after="0" w:line="283" w:lineRule="exact"/>
        <w:shd w:val="nil" w:color="auto"/>
        <w:rPr>
          <w:rFonts w:ascii="PT Astra Serif" w:hAnsi="PT Astra Serif" w:cs="PT Astra Serif"/>
          <w:sz w:val="26"/>
          <w:szCs w:val="26"/>
          <w14:ligatures w14:val="none"/>
        </w:rPr>
        <w:suppressLineNumbers w:val="0"/>
      </w:pPr>
      <w:r>
        <w:rPr>
          <w:rFonts w:ascii="PT Astra Serif" w:hAnsi="PT Astra Serif" w:eastAsia="PT Astra Serif" w:cs="PT Astra Serif"/>
          <w:sz w:val="26"/>
          <w:szCs w:val="26"/>
        </w:rPr>
        <w:t xml:space="preserve">Особенности определения сметной стоимости при внесении изменений в сметную документацию установлены главой XI Методики 421/пр.</w:t>
      </w: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  <w14:ligatures w14:val="none"/>
        </w:rPr>
      </w:r>
    </w:p>
    <w:p>
      <w:pPr>
        <w:contextualSpacing w:val="0"/>
        <w:ind w:firstLine="709"/>
        <w:jc w:val="both"/>
        <w:spacing w:before="0" w:after="0" w:line="283" w:lineRule="exact"/>
        <w:shd w:val="nil" w:color="auto"/>
        <w:rPr>
          <w:rFonts w:ascii="PT Astra Serif" w:hAnsi="PT Astra Serif" w:cs="PT Astra Serif"/>
          <w:sz w:val="26"/>
          <w:szCs w:val="26"/>
          <w14:ligatures w14:val="none"/>
        </w:rPr>
        <w:suppressLineNumbers w:val="0"/>
      </w:pPr>
      <w:r>
        <w:rPr>
          <w:rFonts w:ascii="PT Astra Serif" w:hAnsi="PT Astra Serif" w:eastAsia="PT Astra Serif" w:cs="PT Astra Serif"/>
          <w:sz w:val="26"/>
          <w:szCs w:val="26"/>
        </w:rPr>
        <w:t xml:space="preserve">Согласно пункту 188 Методики № 421/пр при внесении изменений в сметную документацию разрабатывается сводный сметный расчет, определяющий общую сметную стоимость строительства с учетом произведенных изменений проектной и (или) иной технической документации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на полный объем работ с учетом объемов корректировки (исключаемых и дополнительных). По решению заказчика дополнительно может быть разработан отдельный сводный сметный расчет, определяющий сметную стоимость изменений. Локальные сметные расчеты (сметы) разр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абатываются отдельно на исключаемые и дополнительные объемы работ.</w:t>
      </w: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  <w14:ligatures w14:val="none"/>
        </w:rPr>
      </w:r>
    </w:p>
    <w:p>
      <w:pPr>
        <w:contextualSpacing w:val="0"/>
        <w:ind w:firstLine="709"/>
        <w:jc w:val="both"/>
        <w:spacing w:before="0" w:after="0" w:line="283" w:lineRule="exact"/>
        <w:shd w:val="nil" w:color="auto"/>
        <w:rPr>
          <w:rFonts w:ascii="PT Astra Serif" w:hAnsi="PT Astra Serif" w:cs="PT Astra Serif"/>
          <w:sz w:val="26"/>
          <w:szCs w:val="26"/>
          <w14:ligatures w14:val="none"/>
        </w:rPr>
        <w:suppressLineNumbers w:val="0"/>
      </w:pPr>
      <w:r>
        <w:rPr>
          <w:rFonts w:ascii="PT Astra Serif" w:hAnsi="PT Astra Serif" w:eastAsia="PT Astra Serif" w:cs="PT Astra Serif"/>
          <w:sz w:val="26"/>
          <w:szCs w:val="26"/>
        </w:rPr>
        <w:t xml:space="preserve">К сметной документации дополнительно прилагаются сопоставительные ведомости объема работ. По требованию заказчика к сметной документации прилагаются сопоставимые ведомости изменения сметной стоимости, при этом детализация изменений определяется заказчиком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и приводится в разрезе глав сводного сметного расчета стоимости строительства или объектных сметных расчетов (смет) или локальных сметных расчетов (смет) (пункт 189 Методики № 421/пр).</w:t>
      </w: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  <w14:ligatures w14:val="none"/>
        </w:rPr>
      </w:r>
    </w:p>
    <w:p>
      <w:pPr>
        <w:contextualSpacing w:val="0"/>
        <w:ind w:firstLine="709"/>
        <w:jc w:val="both"/>
        <w:spacing w:before="0" w:after="0" w:line="283" w:lineRule="exact"/>
        <w:shd w:val="nil" w:color="auto"/>
        <w:rPr>
          <w:rFonts w:ascii="PT Astra Serif" w:hAnsi="PT Astra Serif" w:cs="PT Astra Serif"/>
          <w:sz w:val="26"/>
          <w:szCs w:val="26"/>
          <w14:ligatures w14:val="none"/>
        </w:rPr>
        <w:suppressLineNumbers w:val="0"/>
      </w:pPr>
      <w:r>
        <w:rPr>
          <w:rFonts w:ascii="PT Astra Serif" w:hAnsi="PT Astra Serif" w:eastAsia="PT Astra Serif" w:cs="PT Astra Serif"/>
          <w:sz w:val="26"/>
          <w:szCs w:val="26"/>
        </w:rPr>
        <w:t xml:space="preserve">В соответствии с подпунктом «б» пункта 27 Положения об организации и проведении государственной экспертизы проектной документации и результатов инженерных изысканий, утвержденного постановлением Правительства Российской Федерации от 5 марта 2007 г. № 145 (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далее - Положение № 145), предметом государственной экспертизы проектной документации в том числе является проверка достоверности определения сметной стоимости в случаях, установленных частью 2 статьи 8.3 ГрК РФ.</w:t>
      </w: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  <w14:ligatures w14:val="none"/>
        </w:rPr>
      </w:r>
    </w:p>
    <w:p>
      <w:pPr>
        <w:contextualSpacing w:val="0"/>
        <w:ind w:firstLine="709"/>
        <w:jc w:val="both"/>
        <w:spacing w:before="0" w:after="0" w:line="283" w:lineRule="exact"/>
        <w:shd w:val="nil" w:color="auto"/>
        <w:rPr>
          <w:rFonts w:ascii="PT Astra Serif" w:hAnsi="PT Astra Serif" w:cs="PT Astra Serif"/>
          <w:sz w:val="26"/>
          <w:szCs w:val="26"/>
          <w14:ligatures w14:val="none"/>
        </w:rPr>
        <w:suppressLineNumbers w:val="0"/>
      </w:pPr>
      <w:r>
        <w:rPr>
          <w:rFonts w:ascii="PT Astra Serif" w:hAnsi="PT Astra Serif" w:eastAsia="PT Astra Serif" w:cs="PT Astra Serif"/>
          <w:sz w:val="26"/>
          <w:szCs w:val="26"/>
        </w:rPr>
        <w:t xml:space="preserve">Порядок повторного проведения государственной экспертизы проектной документации определен разделом VI Положения № 145.</w:t>
      </w: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  <w14:ligatures w14:val="none"/>
        </w:rPr>
      </w:r>
    </w:p>
    <w:p>
      <w:pPr>
        <w:contextualSpacing w:val="0"/>
        <w:ind w:firstLine="709"/>
        <w:jc w:val="both"/>
        <w:spacing w:before="0" w:after="0" w:line="283" w:lineRule="exact"/>
        <w:shd w:val="nil" w:color="auto"/>
        <w:rPr>
          <w:rFonts w:ascii="PT Astra Serif" w:hAnsi="PT Astra Serif" w:cs="PT Astra Serif"/>
          <w:sz w:val="26"/>
          <w:szCs w:val="26"/>
          <w14:ligatures w14:val="none"/>
        </w:rPr>
        <w:suppressLineNumbers w:val="0"/>
      </w:pPr>
      <w:r>
        <w:rPr>
          <w:rFonts w:ascii="PT Astra Serif" w:hAnsi="PT Astra Serif" w:eastAsia="PT Astra Serif" w:cs="PT Astra Serif"/>
          <w:sz w:val="26"/>
          <w:szCs w:val="26"/>
        </w:rPr>
        <w:t xml:space="preserve">В соответствии с пунктом 45(12) Положения № 145 в случае если после получения положительного заключения государственной экспертизы сметные нормативы, единичные расценки, в том числе их отдельные составляющие, к сметным нормам, индексы изменения сметной сто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имости, информация о которых включена в ФРСН, сметные цены строительных ресурсов в текущем уровне цен и (или) в уровне цен по состоянию на 1 января 2022 г., индексы изменения сметной стоимости по группам однородных строительных ресурсов, размещенные в феде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ральной государственной информационной системе ценообразования в строительстве, с учетом которых были осуществлены расчеты сметной стоимости, изменились, представление документов для проведения повторной проверки сметной стоимости осуществляется после корр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ектировки сметной документации в части, подвергшейся изменениям в результате изменения физических объемов работ, конструктивных, организационно-технологических и других решений, предусмотренных проектной документацией, с учетом действующих на дату представ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ления документов для проведения повторной проверки сметной стоимости сметных нормативов, единичных расценок, в том числе их отдельных составляющих, к сметным нормам, индексов изменения сметной стоимости, информация о которых включена в федеральный реестр с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метных нормативов, сметных цен строительных ресурсов, индексов изменения сметной стоимости по группам однородных строительных ресурсов, размещенных в федеральной государственной информационной системе ценообразования в строительстве, при этом остальная час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ть сметной документации не корректируется.</w:t>
      </w: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  <w14:ligatures w14:val="none"/>
        </w:rPr>
      </w:r>
    </w:p>
    <w:p>
      <w:pPr>
        <w:contextualSpacing w:val="0"/>
        <w:ind w:firstLine="709"/>
        <w:jc w:val="both"/>
        <w:spacing w:before="0" w:after="0" w:line="283" w:lineRule="exact"/>
        <w:shd w:val="nil" w:color="auto"/>
        <w:rPr>
          <w:rFonts w:ascii="PT Astra Serif" w:hAnsi="PT Astra Serif" w:cs="PT Astra Serif"/>
          <w:sz w:val="26"/>
          <w:szCs w:val="26"/>
          <w14:ligatures w14:val="none"/>
        </w:rPr>
        <w:suppressLineNumbers w:val="0"/>
      </w:pPr>
      <w:r>
        <w:rPr>
          <w:rFonts w:ascii="PT Astra Serif" w:hAnsi="PT Astra Serif" w:eastAsia="PT Astra Serif" w:cs="PT Astra Serif"/>
          <w:sz w:val="26"/>
          <w:szCs w:val="26"/>
        </w:rPr>
        <w:t xml:space="preserve">На основании вышеизложенного сообщается, что корректировка сметной документации в части, подвергшейся изменениям в результате изменения физических объемов работ, конструктивных, организационных технологических и других решений, предусмотренных проектной до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кументацией, должна осуществляться с применением утвержденных сметных нормативов и индексов изменения сметной стоимости строительства, действующих на дату представления документов для проведения повторной государственной экспертизы, информация о которых вк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лючена в ФРСН.</w:t>
      </w: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  <w14:ligatures w14:val="none"/>
        </w:rPr>
      </w:r>
    </w:p>
    <w:p>
      <w:pPr>
        <w:contextualSpacing w:val="0"/>
        <w:ind w:firstLine="709"/>
        <w:jc w:val="both"/>
        <w:spacing w:before="0" w:after="0" w:line="283" w:lineRule="exact"/>
        <w:shd w:val="nil" w:color="auto"/>
        <w:rPr>
          <w:rFonts w:ascii="PT Astra Serif" w:hAnsi="PT Astra Serif" w:cs="PT Astra Serif"/>
          <w:sz w:val="26"/>
          <w:szCs w:val="26"/>
          <w14:ligatures w14:val="none"/>
        </w:rPr>
        <w:suppressLineNumbers w:val="0"/>
      </w:pPr>
      <w:r>
        <w:rPr>
          <w:rFonts w:ascii="PT Astra Serif" w:hAnsi="PT Astra Serif" w:eastAsia="PT Astra Serif" w:cs="PT Astra Serif"/>
          <w:sz w:val="26"/>
          <w:szCs w:val="26"/>
        </w:rPr>
        <w:t xml:space="preserve">При этом часть сметной документации, которая не подлежит корректировке в результате изменения физических объемов работ, конструктивных, организационных-технологических и других решений, предусмотренных проектной документацией, в том числе в части исключаем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ых объемов работ, представляется для проведения повторной государственной экспертизы, составленная с применением сметных нормативов и индексов изменения сметной стоимости строительства, действующих на дату, указанную в ранее выданном положительном заключен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ии по проверке достоверности определения сметной стоимости.</w:t>
      </w: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  <w14:ligatures w14:val="none"/>
        </w:rPr>
      </w:r>
    </w:p>
    <w:p>
      <w:pPr>
        <w:contextualSpacing w:val="0"/>
        <w:ind w:firstLine="709"/>
        <w:jc w:val="both"/>
        <w:spacing w:before="0" w:after="0" w:line="283" w:lineRule="exact"/>
        <w:shd w:val="nil" w:color="auto"/>
        <w:rPr>
          <w:rFonts w:ascii="PT Astra Serif" w:hAnsi="PT Astra Serif" w:cs="PT Astra Serif"/>
          <w:sz w:val="26"/>
          <w:szCs w:val="26"/>
          <w14:ligatures w14:val="none"/>
        </w:rPr>
        <w:suppressLineNumbers w:val="0"/>
      </w:pPr>
      <w:r>
        <w:rPr>
          <w:rFonts w:ascii="PT Astra Serif" w:hAnsi="PT Astra Serif" w:eastAsia="PT Astra Serif" w:cs="PT Astra Serif"/>
          <w:sz w:val="26"/>
          <w:szCs w:val="26"/>
        </w:rPr>
        <w:t xml:space="preserve">Дополнительно сообщается, что согласно абзацу второму пункта 45(12) Положения № 145 в случае если при проведении первичной государственной экспертизы использовался базисно-индексный метод, то для проведения повторной проверки сметной стоимости направляется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 сметная документация, составленная с использованием действующих на дату представления документов для проведения повторной государственной экспертизы сметных нормативов, единичных расценок, в том числе их отдельных составляющих, к сметным нормам, индексов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изменения сметной стоимости, информация о которых включена в ФРСН.</w:t>
      </w: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  <w14:ligatures w14:val="none"/>
        </w:rPr>
      </w:r>
    </w:p>
    <w:p>
      <w:pPr>
        <w:ind w:left="567" w:right="0" w:firstLine="0"/>
        <w:jc w:val="both"/>
        <w:spacing w:after="0" w:afterAutospacing="0"/>
        <w:shd w:val="nil" w:color="000000"/>
        <w:rPr>
          <w:rFonts w:ascii="PT Astra Serif" w:hAnsi="PT Astra Serif" w:eastAsia="PT Astra Serif" w:cs="PT Astra Serif"/>
          <w:sz w:val="26"/>
          <w:szCs w:val="26"/>
          <w:highlight w:val="none"/>
          <w14:ligatures w14:val="none"/>
        </w:rPr>
      </w:pPr>
      <w:r>
        <w:rPr>
          <w:rFonts w:ascii="PT Astra Serif" w:hAnsi="PT Astra Serif" w:eastAsia="PT Astra Serif" w:cs="PT Astra Serif"/>
          <w:sz w:val="26"/>
          <w:szCs w:val="26"/>
          <w:highlight w:val="none"/>
          <w14:ligatures w14:val="none"/>
        </w:rPr>
      </w:r>
      <w:r>
        <w:rPr>
          <w:rFonts w:ascii="PT Astra Serif" w:hAnsi="PT Astra Serif" w:eastAsia="PT Astra Serif" w:cs="PT Astra Serif"/>
          <w:sz w:val="26"/>
          <w:szCs w:val="26"/>
          <w:highlight w:val="none"/>
          <w14:ligatures w14:val="none"/>
        </w:rPr>
      </w:r>
    </w:p>
    <w:p>
      <w:pPr>
        <w:contextualSpacing w:val="0"/>
        <w:ind w:firstLine="708"/>
        <w:jc w:val="both"/>
        <w:spacing w:before="0" w:after="0" w:line="283" w:lineRule="atLeast"/>
        <w:rPr>
          <w:rFonts w:ascii="PT Astra Serif" w:hAnsi="PT Astra Serif" w:cs="PT Astra Serif"/>
          <w:i/>
          <w:sz w:val="26"/>
          <w:szCs w:val="26"/>
        </w:rPr>
        <w:suppressLineNumbers w:val="0"/>
      </w:pPr>
      <w:r>
        <w:rPr>
          <w:rFonts w:ascii="PT Astra Serif" w:hAnsi="PT Astra Serif" w:eastAsia="PT Astra Serif" w:cs="PT Astra Serif"/>
          <w:i/>
          <w:sz w:val="26"/>
          <w:szCs w:val="26"/>
        </w:rPr>
        <w:t xml:space="preserve">Определение Верховного Суда Российской Федерации от </w:t>
      </w:r>
      <w:r>
        <w:rPr>
          <w:rFonts w:ascii="PT Astra Serif" w:hAnsi="PT Astra Serif" w:eastAsia="PT Astra Serif" w:cs="PT Astra Serif"/>
          <w:i/>
          <w:sz w:val="26"/>
          <w:szCs w:val="26"/>
        </w:rPr>
        <w:t xml:space="preserve">05</w:t>
      </w:r>
      <w:r>
        <w:rPr>
          <w:rFonts w:ascii="PT Astra Serif" w:hAnsi="PT Astra Serif" w:eastAsia="PT Astra Serif" w:cs="PT Astra Serif"/>
          <w:i/>
          <w:sz w:val="26"/>
          <w:szCs w:val="26"/>
        </w:rPr>
        <w:t xml:space="preserve">.03.2026 </w:t>
      </w:r>
      <w:r>
        <w:rPr>
          <w:rFonts w:ascii="PT Astra Serif" w:hAnsi="PT Astra Serif" w:eastAsia="PT Astra Serif" w:cs="PT Astra Serif"/>
          <w:i/>
          <w:sz w:val="26"/>
          <w:szCs w:val="26"/>
        </w:rPr>
        <w:t xml:space="preserve">№ 308-ЭС26-1147 по делу № А01-3793/2024</w:t>
      </w:r>
      <w:r>
        <w:rPr>
          <w:rFonts w:ascii="PT Astra Serif" w:hAnsi="PT Astra Serif" w:eastAsia="PT Astra Serif" w:cs="PT Astra Serif"/>
          <w:i/>
          <w:sz w:val="26"/>
          <w:szCs w:val="26"/>
        </w:rPr>
      </w:r>
      <w:r>
        <w:rPr>
          <w:rFonts w:ascii="PT Astra Serif" w:hAnsi="PT Astra Serif" w:eastAsia="PT Astra Serif" w:cs="PT Astra Serif"/>
          <w:i/>
          <w:sz w:val="26"/>
          <w:szCs w:val="26"/>
        </w:rPr>
      </w:r>
      <w:r>
        <w:rPr>
          <w:rFonts w:ascii="PT Astra Serif" w:hAnsi="PT Astra Serif" w:eastAsia="PT Astra Serif" w:cs="PT Astra Serif"/>
          <w:i/>
          <w:sz w:val="26"/>
          <w:szCs w:val="26"/>
        </w:rPr>
      </w:r>
      <w:r>
        <w:rPr>
          <w:rFonts w:ascii="PT Astra Serif" w:hAnsi="PT Astra Serif" w:eastAsia="PT Astra Serif" w:cs="PT Astra Serif"/>
          <w:i/>
          <w:sz w:val="26"/>
          <w:szCs w:val="26"/>
        </w:rPr>
      </w:r>
      <w:r>
        <w:rPr>
          <w:rFonts w:ascii="PT Astra Serif" w:hAnsi="PT Astra Serif" w:cs="PT Astra Serif"/>
          <w:i/>
          <w:sz w:val="26"/>
          <w:szCs w:val="26"/>
        </w:rPr>
      </w:r>
      <w:r>
        <w:rPr>
          <w:rFonts w:ascii="PT Astra Serif" w:hAnsi="PT Astra Serif" w:cs="PT Astra Serif"/>
          <w:i/>
          <w:sz w:val="26"/>
          <w:szCs w:val="26"/>
        </w:rPr>
      </w:r>
    </w:p>
    <w:p>
      <w:pPr>
        <w:contextualSpacing w:val="0"/>
        <w:ind w:firstLine="708"/>
        <w:jc w:val="both"/>
        <w:spacing w:before="0" w:after="0" w:line="283" w:lineRule="atLeast"/>
        <w:rPr>
          <w:rFonts w:ascii="PT Astra Serif" w:hAnsi="PT Astra Serif" w:cs="PT Astra Serif" w:cstheme="minorBidi"/>
          <w:sz w:val="26"/>
          <w:szCs w:val="26"/>
        </w:rPr>
        <w:suppressLineNumbers w:val="0"/>
      </w:pPr>
      <w:r>
        <w:rPr>
          <w:rFonts w:ascii="PT Astra Serif" w:hAnsi="PT Astra Serif" w:eastAsia="PT Astra Serif" w:cs="PT Astra Serif" w:eastAsiaTheme="minorHAnsi"/>
          <w:sz w:val="26"/>
          <w:szCs w:val="26"/>
          <w:lang w:eastAsia="en-US"/>
        </w:rPr>
        <w:t xml:space="preserve">Заявител</w:t>
      </w:r>
      <w:r>
        <w:rPr>
          <w:rFonts w:ascii="PT Astra Serif" w:hAnsi="PT Astra Serif" w:eastAsia="PT Astra Serif" w:cs="PT Astra Serif" w:eastAsiaTheme="minorHAnsi"/>
          <w:sz w:val="26"/>
          <w:szCs w:val="26"/>
          <w:lang w:eastAsia="en-US"/>
        </w:rPr>
        <w:t xml:space="preserve">и</w:t>
      </w:r>
      <w:r>
        <w:rPr>
          <w:rFonts w:ascii="PT Astra Serif" w:hAnsi="PT Astra Serif" w:eastAsia="PT Astra Serif" w:cs="PT Astra Serif" w:eastAsiaTheme="minorHAnsi"/>
          <w:sz w:val="26"/>
          <w:szCs w:val="26"/>
          <w:lang w:eastAsia="en-US"/>
        </w:rPr>
        <w:t xml:space="preserve">: </w:t>
      </w:r>
      <w:r>
        <w:rPr>
          <w:rFonts w:ascii="PT Astra Serif" w:hAnsi="PT Astra Serif" w:eastAsia="PT Astra Serif" w:cs="PT Astra Serif" w:eastAsiaTheme="minorHAnsi"/>
          <w:sz w:val="26"/>
          <w:szCs w:val="26"/>
          <w:lang w:eastAsia="en-US"/>
        </w:rPr>
        <w:t xml:space="preserve">Кабинет министров, </w:t>
      </w:r>
      <w:r>
        <w:rPr>
          <w:rFonts w:ascii="PT Astra Serif" w:hAnsi="PT Astra Serif" w:eastAsia="PT Astra Serif" w:cs="PT Astra Serif" w:eastAsiaTheme="minorHAnsi"/>
          <w:sz w:val="26"/>
          <w:szCs w:val="26"/>
          <w:lang w:eastAsia="en-US"/>
        </w:rPr>
        <w:t xml:space="preserve">общество</w:t>
      </w:r>
      <w:r>
        <w:rPr>
          <w:rFonts w:ascii="PT Astra Serif" w:hAnsi="PT Astra Serif" w:eastAsia="PT Astra Serif" w:cs="PT Astra Serif" w:eastAsiaTheme="minorHAnsi"/>
          <w:sz w:val="26"/>
          <w:szCs w:val="26"/>
          <w:lang w:eastAsia="en-US"/>
        </w:rPr>
      </w:r>
      <w:r>
        <w:rPr>
          <w:rFonts w:ascii="PT Astra Serif" w:hAnsi="PT Astra Serif" w:eastAsia="PT Astra Serif" w:cs="PT Astra Serif" w:eastAsiaTheme="minorHAnsi"/>
          <w:sz w:val="26"/>
          <w:szCs w:val="26"/>
          <w:lang w:eastAsia="en-US"/>
        </w:rPr>
      </w:r>
    </w:p>
    <w:p>
      <w:pPr>
        <w:contextualSpacing w:val="0"/>
        <w:ind w:firstLine="708"/>
        <w:jc w:val="both"/>
        <w:spacing w:before="0" w:after="0" w:line="283" w:lineRule="atLeast"/>
        <w:rPr>
          <w:rFonts w:ascii="PT Astra Serif" w:hAnsi="PT Astra Serif" w:cs="PT Astra Serif" w:cstheme="minorBidi"/>
          <w:sz w:val="26"/>
          <w:szCs w:val="26"/>
        </w:rPr>
        <w:suppressLineNumbers w:val="0"/>
      </w:pPr>
      <w:r>
        <w:rPr>
          <w:rFonts w:ascii="PT Astra Serif" w:hAnsi="PT Astra Serif" w:eastAsia="PT Astra Serif" w:cs="PT Astra Serif" w:eastAsiaTheme="minorHAnsi"/>
          <w:sz w:val="26"/>
          <w:szCs w:val="26"/>
          <w:lang w:eastAsia="en-US"/>
        </w:rPr>
        <w:t xml:space="preserve">Учреждением (заказчик) и обществом </w:t>
      </w:r>
      <w:r>
        <w:rPr>
          <w:rFonts w:ascii="PT Astra Serif" w:hAnsi="PT Astra Serif" w:eastAsia="PT Astra Serif" w:cs="PT Astra Serif" w:eastAsiaTheme="minorHAnsi"/>
          <w:sz w:val="26"/>
          <w:szCs w:val="26"/>
          <w:lang w:eastAsia="en-US"/>
        </w:rPr>
        <w:t xml:space="preserve">(подрядчик) заключен контракт на </w:t>
      </w:r>
      <w:r>
        <w:rPr>
          <w:rFonts w:ascii="PT Astra Serif" w:hAnsi="PT Astra Serif" w:eastAsia="PT Astra Serif" w:cs="PT Astra Serif" w:eastAsiaTheme="minorHAnsi"/>
          <w:sz w:val="26"/>
          <w:szCs w:val="26"/>
          <w:lang w:eastAsia="en-US"/>
        </w:rPr>
        <w:t xml:space="preserve">выполн</w:t>
      </w:r>
      <w:r>
        <w:rPr>
          <w:rFonts w:ascii="PT Astra Serif" w:hAnsi="PT Astra Serif" w:eastAsia="PT Astra Serif" w:cs="PT Astra Serif" w:eastAsiaTheme="minorHAnsi"/>
          <w:sz w:val="26"/>
          <w:szCs w:val="26"/>
          <w:lang w:eastAsia="en-US"/>
        </w:rPr>
        <w:t xml:space="preserve">ение </w:t>
      </w:r>
      <w:r>
        <w:rPr>
          <w:rFonts w:ascii="PT Astra Serif" w:hAnsi="PT Astra Serif" w:eastAsia="PT Astra Serif" w:cs="PT Astra Serif" w:eastAsiaTheme="minorHAnsi"/>
          <w:sz w:val="26"/>
          <w:szCs w:val="26"/>
          <w:lang w:eastAsia="en-US"/>
        </w:rPr>
        <w:t xml:space="preserve">комплекс</w:t>
      </w:r>
      <w:r>
        <w:rPr>
          <w:rFonts w:ascii="PT Astra Serif" w:hAnsi="PT Astra Serif" w:eastAsia="PT Astra Serif" w:cs="PT Astra Serif" w:eastAsiaTheme="minorHAnsi"/>
          <w:sz w:val="26"/>
          <w:szCs w:val="26"/>
          <w:lang w:eastAsia="en-US"/>
        </w:rPr>
        <w:t xml:space="preserve">а </w:t>
      </w:r>
      <w:r>
        <w:rPr>
          <w:rFonts w:ascii="PT Astra Serif" w:hAnsi="PT Astra Serif" w:eastAsia="PT Astra Serif" w:cs="PT Astra Serif" w:eastAsiaTheme="minorHAnsi"/>
          <w:sz w:val="26"/>
          <w:szCs w:val="26"/>
          <w:lang w:eastAsia="en-US"/>
        </w:rPr>
        <w:t xml:space="preserve">работ по инженерным изыскан</w:t>
      </w:r>
      <w:r>
        <w:rPr>
          <w:rFonts w:ascii="PT Astra Serif" w:hAnsi="PT Astra Serif" w:eastAsia="PT Astra Serif" w:cs="PT Astra Serif" w:eastAsiaTheme="minorHAnsi"/>
          <w:sz w:val="26"/>
          <w:szCs w:val="26"/>
          <w:lang w:eastAsia="en-US"/>
        </w:rPr>
        <w:t xml:space="preserve">иям, проектированию, </w:t>
      </w:r>
      <w:r>
        <w:rPr>
          <w:rFonts w:ascii="PT Astra Serif" w:hAnsi="PT Astra Serif" w:eastAsia="PT Astra Serif" w:cs="PT Astra Serif" w:eastAsiaTheme="minorHAnsi"/>
          <w:sz w:val="26"/>
          <w:szCs w:val="26"/>
          <w:lang w:eastAsia="en-US"/>
        </w:rPr>
        <w:t xml:space="preserve">строительству</w:t>
      </w:r>
      <w:r>
        <w:rPr>
          <w:rFonts w:ascii="PT Astra Serif" w:hAnsi="PT Astra Serif" w:eastAsia="PT Astra Serif" w:cs="PT Astra Serif" w:eastAsiaTheme="minorHAnsi"/>
          <w:sz w:val="26"/>
          <w:szCs w:val="26"/>
          <w:lang w:eastAsia="en-US"/>
        </w:rPr>
        <w:t xml:space="preserve"> и сдаче готового к эксплуатации объекта. </w:t>
      </w:r>
      <w:r>
        <w:rPr>
          <w:rFonts w:ascii="PT Astra Serif" w:hAnsi="PT Astra Serif" w:eastAsia="PT Astra Serif" w:cs="PT Astra Serif" w:eastAsiaTheme="minorHAnsi"/>
          <w:sz w:val="26"/>
          <w:szCs w:val="26"/>
          <w:lang w:eastAsia="en-US"/>
        </w:rPr>
      </w:r>
      <w:r>
        <w:rPr>
          <w:rFonts w:ascii="PT Astra Serif" w:hAnsi="PT Astra Serif" w:eastAsia="PT Astra Serif" w:cs="PT Astra Serif" w:eastAsiaTheme="minorHAnsi"/>
          <w:sz w:val="26"/>
          <w:szCs w:val="26"/>
          <w:lang w:eastAsia="en-US"/>
        </w:rPr>
      </w:r>
    </w:p>
    <w:p>
      <w:pPr>
        <w:contextualSpacing w:val="0"/>
        <w:ind w:firstLine="708"/>
        <w:jc w:val="both"/>
        <w:spacing w:before="0" w:after="0" w:line="283" w:lineRule="atLeast"/>
        <w:rPr>
          <w:rFonts w:ascii="PT Astra Serif" w:hAnsi="PT Astra Serif" w:cs="PT Astra Serif" w:cstheme="minorBidi"/>
          <w:sz w:val="26"/>
          <w:szCs w:val="26"/>
        </w:rPr>
        <w:suppressLineNumbers w:val="0"/>
      </w:pPr>
      <w:r>
        <w:rPr>
          <w:rFonts w:ascii="PT Astra Serif" w:hAnsi="PT Astra Serif" w:eastAsia="PT Astra Serif" w:cs="PT Astra Serif" w:eastAsiaTheme="minorHAnsi"/>
          <w:sz w:val="26"/>
          <w:szCs w:val="26"/>
          <w:lang w:eastAsia="en-US"/>
        </w:rPr>
        <w:t xml:space="preserve">В ходе выполнения работ по контракту </w:t>
      </w:r>
      <w:r>
        <w:rPr>
          <w:rFonts w:ascii="PT Astra Serif" w:hAnsi="PT Astra Serif" w:eastAsia="PT Astra Serif" w:cs="PT Astra Serif" w:eastAsiaTheme="minorHAnsi"/>
          <w:sz w:val="26"/>
          <w:szCs w:val="26"/>
          <w:lang w:eastAsia="en-US"/>
        </w:rPr>
        <w:t xml:space="preserve">установлена необходимость замены источника водоснабжения</w:t>
      </w:r>
      <w:r>
        <w:rPr>
          <w:rFonts w:ascii="PT Astra Serif" w:hAnsi="PT Astra Serif" w:eastAsia="PT Astra Serif" w:cs="PT Astra Serif" w:eastAsiaTheme="minorHAnsi"/>
          <w:sz w:val="26"/>
          <w:szCs w:val="26"/>
          <w:lang w:eastAsia="en-US"/>
        </w:rPr>
        <w:t xml:space="preserve">, указанного в проекте, </w:t>
      </w:r>
      <w:r>
        <w:rPr>
          <w:rFonts w:ascii="PT Astra Serif" w:hAnsi="PT Astra Serif" w:eastAsia="PT Astra Serif" w:cs="PT Astra Serif" w:eastAsiaTheme="minorHAnsi"/>
          <w:sz w:val="26"/>
          <w:szCs w:val="26"/>
          <w:lang w:eastAsia="en-US"/>
        </w:rPr>
        <w:t xml:space="preserve">внесены изменения в контракт, связанные с увеличением количества расходных материалов, требуемых для выполнения работ</w:t>
      </w:r>
      <w:r>
        <w:rPr>
          <w:rFonts w:ascii="PT Astra Serif" w:hAnsi="PT Astra Serif" w:eastAsia="PT Astra Serif" w:cs="PT Astra Serif" w:eastAsiaTheme="minorHAnsi"/>
          <w:sz w:val="26"/>
          <w:szCs w:val="26"/>
          <w:lang w:eastAsia="en-US"/>
        </w:rPr>
        <w:t xml:space="preserve">.</w:t>
      </w:r>
      <w:r>
        <w:rPr>
          <w:rFonts w:ascii="PT Astra Serif" w:hAnsi="PT Astra Serif" w:eastAsia="PT Astra Serif" w:cs="PT Astra Serif" w:eastAsiaTheme="minorHAnsi"/>
          <w:sz w:val="26"/>
          <w:szCs w:val="26"/>
          <w:lang w:eastAsia="en-US"/>
        </w:rPr>
      </w:r>
      <w:r>
        <w:rPr>
          <w:rFonts w:ascii="PT Astra Serif" w:hAnsi="PT Astra Serif" w:eastAsia="PT Astra Serif" w:cs="PT Astra Serif" w:eastAsiaTheme="minorHAnsi"/>
          <w:sz w:val="26"/>
          <w:szCs w:val="26"/>
          <w:lang w:eastAsia="en-US"/>
        </w:rPr>
      </w:r>
    </w:p>
    <w:p>
      <w:pPr>
        <w:contextualSpacing w:val="0"/>
        <w:ind w:firstLine="708"/>
        <w:jc w:val="both"/>
        <w:spacing w:before="0" w:after="0" w:line="283" w:lineRule="atLeast"/>
        <w:rPr>
          <w:rFonts w:ascii="PT Astra Serif" w:hAnsi="PT Astra Serif" w:cs="PT Astra Serif" w:cstheme="minorBidi"/>
          <w:sz w:val="26"/>
          <w:szCs w:val="26"/>
        </w:rPr>
        <w:suppressLineNumbers w:val="0"/>
      </w:pPr>
      <w:r>
        <w:rPr>
          <w:rFonts w:ascii="PT Astra Serif" w:hAnsi="PT Astra Serif" w:eastAsia="PT Astra Serif" w:cs="PT Astra Serif" w:eastAsiaTheme="minorHAnsi"/>
          <w:sz w:val="26"/>
          <w:szCs w:val="26"/>
          <w:lang w:eastAsia="en-US"/>
        </w:rPr>
        <w:t xml:space="preserve">Для исполнения обязательств по контракту </w:t>
      </w:r>
      <w:r>
        <w:rPr>
          <w:rFonts w:ascii="PT Astra Serif" w:hAnsi="PT Astra Serif" w:eastAsia="PT Astra Serif" w:cs="PT Astra Serif" w:eastAsiaTheme="minorHAnsi"/>
          <w:sz w:val="26"/>
          <w:szCs w:val="26"/>
          <w:lang w:eastAsia="en-US"/>
        </w:rPr>
        <w:t xml:space="preserve">общество заключило договор на поставку</w:t>
      </w:r>
      <w:r>
        <w:rPr>
          <w:rFonts w:ascii="PT Astra Serif" w:hAnsi="PT Astra Serif" w:eastAsia="PT Astra Serif" w:cs="PT Astra Serif" w:eastAsiaTheme="minorHAnsi"/>
          <w:sz w:val="26"/>
          <w:szCs w:val="26"/>
          <w:lang w:eastAsia="en-US"/>
        </w:rPr>
        <w:t xml:space="preserve"> </w:t>
      </w:r>
      <w:r>
        <w:rPr>
          <w:rFonts w:ascii="PT Astra Serif" w:hAnsi="PT Astra Serif" w:eastAsia="PT Astra Serif" w:cs="PT Astra Serif" w:eastAsiaTheme="minorHAnsi"/>
          <w:sz w:val="26"/>
          <w:szCs w:val="26"/>
          <w:lang w:eastAsia="en-US"/>
        </w:rPr>
        <w:t xml:space="preserve">стальных труб п</w:t>
      </w:r>
      <w:r>
        <w:rPr>
          <w:rFonts w:ascii="PT Astra Serif" w:hAnsi="PT Astra Serif" w:eastAsia="PT Astra Serif" w:cs="PT Astra Serif" w:eastAsiaTheme="minorHAnsi"/>
          <w:sz w:val="26"/>
          <w:szCs w:val="26"/>
          <w:lang w:eastAsia="en-US"/>
        </w:rPr>
        <w:t xml:space="preserve">о </w:t>
      </w:r>
      <w:r>
        <w:rPr>
          <w:rFonts w:ascii="PT Astra Serif" w:hAnsi="PT Astra Serif" w:eastAsia="PT Astra Serif" w:cs="PT Astra Serif" w:eastAsiaTheme="minorHAnsi"/>
          <w:sz w:val="26"/>
          <w:szCs w:val="26"/>
          <w:lang w:eastAsia="en-US"/>
        </w:rPr>
        <w:t xml:space="preserve">100% предоплат</w:t>
      </w:r>
      <w:r>
        <w:rPr>
          <w:rFonts w:ascii="PT Astra Serif" w:hAnsi="PT Astra Serif" w:eastAsia="PT Astra Serif" w:cs="PT Astra Serif" w:eastAsiaTheme="minorHAnsi"/>
          <w:sz w:val="26"/>
          <w:szCs w:val="26"/>
          <w:lang w:eastAsia="en-US"/>
        </w:rPr>
        <w:t xml:space="preserve">е</w:t>
      </w:r>
      <w:r>
        <w:rPr>
          <w:rFonts w:ascii="PT Astra Serif" w:hAnsi="PT Astra Serif" w:eastAsia="PT Astra Serif" w:cs="PT Astra Serif" w:eastAsiaTheme="minorHAnsi"/>
          <w:sz w:val="26"/>
          <w:szCs w:val="26"/>
          <w:lang w:eastAsia="en-US"/>
        </w:rPr>
        <w:t xml:space="preserve"> и </w:t>
      </w:r>
      <w:r>
        <w:rPr>
          <w:rFonts w:ascii="PT Astra Serif" w:hAnsi="PT Astra Serif" w:eastAsia="PT Astra Serif" w:cs="PT Astra Serif" w:eastAsiaTheme="minorHAnsi"/>
          <w:sz w:val="26"/>
          <w:szCs w:val="26"/>
          <w:lang w:eastAsia="en-US"/>
        </w:rPr>
        <w:t xml:space="preserve">обратилось к учреждению</w:t>
      </w:r>
      <w:r>
        <w:rPr>
          <w:rFonts w:ascii="PT Astra Serif" w:hAnsi="PT Astra Serif" w:eastAsia="PT Astra Serif" w:cs="PT Astra Serif" w:eastAsiaTheme="minorHAnsi"/>
          <w:sz w:val="26"/>
          <w:szCs w:val="26"/>
          <w:lang w:eastAsia="en-US"/>
        </w:rPr>
        <w:t xml:space="preserve"> с просьбой </w:t>
      </w:r>
      <w:r>
        <w:rPr>
          <w:rFonts w:ascii="PT Astra Serif" w:hAnsi="PT Astra Serif" w:eastAsia="PT Astra Serif" w:cs="PT Astra Serif" w:eastAsiaTheme="minorHAnsi"/>
          <w:sz w:val="26"/>
          <w:szCs w:val="26"/>
          <w:lang w:eastAsia="en-US"/>
        </w:rPr>
        <w:t xml:space="preserve">инициировать</w:t>
      </w:r>
      <w:r>
        <w:rPr>
          <w:rFonts w:ascii="PT Astra Serif" w:hAnsi="PT Astra Serif" w:eastAsia="PT Astra Serif" w:cs="PT Astra Serif" w:eastAsiaTheme="minorHAnsi"/>
          <w:sz w:val="26"/>
          <w:szCs w:val="26"/>
          <w:lang w:eastAsia="en-US"/>
        </w:rPr>
        <w:t xml:space="preserve"> внесение изменений в контракт в части </w:t>
      </w:r>
      <w:r>
        <w:rPr>
          <w:rFonts w:ascii="PT Astra Serif" w:hAnsi="PT Astra Serif" w:eastAsia="PT Astra Serif" w:cs="PT Astra Serif" w:eastAsiaTheme="minorHAnsi"/>
          <w:sz w:val="26"/>
          <w:szCs w:val="26"/>
          <w:lang w:eastAsia="en-US"/>
        </w:rPr>
        <w:t xml:space="preserve">выплаты аванса </w:t>
      </w:r>
      <w:r>
        <w:rPr>
          <w:rFonts w:ascii="PT Astra Serif" w:hAnsi="PT Astra Serif" w:eastAsia="PT Astra Serif" w:cs="PT Astra Serif" w:eastAsiaTheme="minorHAnsi"/>
          <w:sz w:val="26"/>
          <w:szCs w:val="26"/>
          <w:lang w:eastAsia="en-US"/>
        </w:rPr>
        <w:t xml:space="preserve">на основании части </w:t>
      </w:r>
      <w:r>
        <w:rPr>
          <w:rFonts w:ascii="PT Astra Serif" w:hAnsi="PT Astra Serif" w:eastAsia="PT Astra Serif" w:cs="PT Astra Serif" w:eastAsiaTheme="minorHAnsi"/>
          <w:sz w:val="26"/>
          <w:szCs w:val="26"/>
          <w:lang w:eastAsia="en-US"/>
        </w:rPr>
        <w:t xml:space="preserve">65.1 статьи 112 Закона </w:t>
      </w:r>
      <w:r>
        <w:rPr>
          <w:rFonts w:ascii="PT Astra Serif" w:hAnsi="PT Astra Serif" w:eastAsia="PT Astra Serif" w:cs="PT Astra Serif" w:eastAsiaTheme="minorHAnsi"/>
          <w:sz w:val="26"/>
          <w:szCs w:val="26"/>
          <w:lang w:eastAsia="en-US"/>
        </w:rPr>
        <w:t xml:space="preserve">№ 44-ФЗ</w:t>
      </w:r>
      <w:r>
        <w:rPr>
          <w:rFonts w:ascii="PT Astra Serif" w:hAnsi="PT Astra Serif" w:eastAsia="PT Astra Serif" w:cs="PT Astra Serif" w:eastAsiaTheme="minorHAnsi"/>
          <w:sz w:val="26"/>
          <w:szCs w:val="26"/>
          <w:lang w:eastAsia="en-US"/>
        </w:rPr>
        <w:t xml:space="preserve">.</w:t>
      </w:r>
      <w:r>
        <w:rPr>
          <w:rFonts w:ascii="PT Astra Serif" w:hAnsi="PT Astra Serif" w:eastAsia="PT Astra Serif" w:cs="PT Astra Serif" w:eastAsiaTheme="minorHAnsi"/>
          <w:sz w:val="26"/>
          <w:szCs w:val="26"/>
          <w:lang w:eastAsia="en-US"/>
        </w:rPr>
      </w:r>
      <w:r>
        <w:rPr>
          <w:rFonts w:ascii="PT Astra Serif" w:hAnsi="PT Astra Serif" w:eastAsia="PT Astra Serif" w:cs="PT Astra Serif" w:eastAsiaTheme="minorHAnsi"/>
          <w:sz w:val="26"/>
          <w:szCs w:val="26"/>
          <w:lang w:eastAsia="en-US"/>
        </w:rPr>
      </w:r>
    </w:p>
    <w:p>
      <w:pPr>
        <w:contextualSpacing w:val="0"/>
        <w:ind w:firstLine="708"/>
        <w:jc w:val="both"/>
        <w:spacing w:before="0" w:after="0" w:line="283" w:lineRule="atLeast"/>
        <w:rPr>
          <w:rFonts w:ascii="PT Astra Serif" w:hAnsi="PT Astra Serif" w:cs="PT Astra Serif" w:cstheme="minorBidi"/>
          <w:sz w:val="26"/>
          <w:szCs w:val="26"/>
        </w:rPr>
        <w:suppressLineNumbers w:val="0"/>
      </w:pPr>
      <w:r>
        <w:rPr>
          <w:rFonts w:ascii="PT Astra Serif" w:hAnsi="PT Astra Serif" w:eastAsia="PT Astra Serif" w:cs="PT Astra Serif" w:eastAsiaTheme="minorHAnsi"/>
          <w:sz w:val="26"/>
          <w:szCs w:val="26"/>
          <w:lang w:eastAsia="en-US"/>
        </w:rPr>
        <w:t xml:space="preserve">С целью внесения изменений в существенные условия контракта </w:t>
      </w:r>
      <w:r>
        <w:rPr>
          <w:rFonts w:ascii="PT Astra Serif" w:hAnsi="PT Astra Serif" w:eastAsia="PT Astra Serif" w:cs="PT Astra Serif" w:eastAsiaTheme="minorHAnsi"/>
          <w:sz w:val="26"/>
          <w:szCs w:val="26"/>
          <w:lang w:eastAsia="en-US"/>
        </w:rPr>
        <w:t xml:space="preserve">Кабинетом министров </w:t>
      </w:r>
      <w:r>
        <w:rPr>
          <w:rFonts w:ascii="PT Astra Serif" w:hAnsi="PT Astra Serif" w:eastAsia="PT Astra Serif" w:cs="PT Astra Serif" w:eastAsiaTheme="minorHAnsi"/>
          <w:sz w:val="26"/>
          <w:szCs w:val="26"/>
          <w:lang w:eastAsia="en-US"/>
        </w:rPr>
        <w:t xml:space="preserve">принят</w:t>
      </w:r>
      <w:r>
        <w:rPr>
          <w:rFonts w:ascii="PT Astra Serif" w:hAnsi="PT Astra Serif" w:eastAsia="PT Astra Serif" w:cs="PT Astra Serif" w:eastAsiaTheme="minorHAnsi"/>
          <w:sz w:val="26"/>
          <w:szCs w:val="26"/>
          <w:lang w:eastAsia="en-US"/>
        </w:rPr>
        <w:t xml:space="preserve">о </w:t>
      </w:r>
      <w:r>
        <w:rPr>
          <w:rFonts w:ascii="PT Astra Serif" w:hAnsi="PT Astra Serif" w:eastAsia="PT Astra Serif" w:cs="PT Astra Serif" w:eastAsiaTheme="minorHAnsi"/>
          <w:sz w:val="26"/>
          <w:szCs w:val="26"/>
          <w:lang w:eastAsia="en-US"/>
        </w:rPr>
        <w:t xml:space="preserve">распоряжени</w:t>
      </w:r>
      <w:r>
        <w:rPr>
          <w:rFonts w:ascii="PT Astra Serif" w:hAnsi="PT Astra Serif" w:eastAsia="PT Astra Serif" w:cs="PT Astra Serif" w:eastAsiaTheme="minorHAnsi"/>
          <w:sz w:val="26"/>
          <w:szCs w:val="26"/>
          <w:lang w:eastAsia="en-US"/>
        </w:rPr>
        <w:t xml:space="preserve">е</w:t>
      </w:r>
      <w:r>
        <w:rPr>
          <w:rFonts w:ascii="PT Astra Serif" w:hAnsi="PT Astra Serif" w:eastAsia="PT Astra Serif" w:cs="PT Astra Serif" w:eastAsiaTheme="minorHAnsi"/>
          <w:sz w:val="26"/>
          <w:szCs w:val="26"/>
          <w:lang w:eastAsia="en-US"/>
        </w:rPr>
        <w:t xml:space="preserve">, которым разрешено внесение изменений в контракт в части авансирования работ</w:t>
      </w:r>
      <w:r>
        <w:rPr>
          <w:rFonts w:ascii="PT Astra Serif" w:hAnsi="PT Astra Serif" w:eastAsia="PT Astra Serif" w:cs="PT Astra Serif" w:eastAsiaTheme="minorHAnsi"/>
          <w:sz w:val="26"/>
          <w:szCs w:val="26"/>
          <w:lang w:eastAsia="en-US"/>
        </w:rPr>
        <w:t xml:space="preserve">, </w:t>
      </w:r>
      <w:r>
        <w:rPr>
          <w:rFonts w:ascii="PT Astra Serif" w:hAnsi="PT Astra Serif" w:eastAsia="PT Astra Serif" w:cs="PT Astra Serif" w:eastAsiaTheme="minorHAnsi"/>
          <w:sz w:val="26"/>
          <w:szCs w:val="26"/>
          <w:lang w:eastAsia="en-US"/>
        </w:rPr>
        <w:t xml:space="preserve">обществом и учреждением заключены дополнительные соглашения</w:t>
      </w:r>
      <w:r>
        <w:rPr>
          <w:rFonts w:ascii="PT Astra Serif" w:hAnsi="PT Astra Serif" w:eastAsia="PT Astra Serif" w:cs="PT Astra Serif" w:eastAsiaTheme="minorHAnsi"/>
          <w:sz w:val="26"/>
          <w:szCs w:val="26"/>
          <w:lang w:eastAsia="en-US"/>
        </w:rPr>
        <w:t xml:space="preserve">.</w:t>
      </w:r>
      <w:r>
        <w:rPr>
          <w:rFonts w:ascii="PT Astra Serif" w:hAnsi="PT Astra Serif" w:eastAsia="PT Astra Serif" w:cs="PT Astra Serif" w:eastAsiaTheme="minorHAnsi"/>
          <w:sz w:val="26"/>
          <w:szCs w:val="26"/>
          <w:lang w:eastAsia="en-US"/>
        </w:rPr>
      </w:r>
      <w:r>
        <w:rPr>
          <w:rFonts w:ascii="PT Astra Serif" w:hAnsi="PT Astra Serif" w:eastAsia="PT Astra Serif" w:cs="PT Astra Serif" w:eastAsiaTheme="minorHAnsi"/>
          <w:sz w:val="26"/>
          <w:szCs w:val="26"/>
          <w:lang w:eastAsia="en-US"/>
        </w:rPr>
      </w:r>
    </w:p>
    <w:p>
      <w:pPr>
        <w:contextualSpacing w:val="0"/>
        <w:ind w:firstLine="708"/>
        <w:jc w:val="both"/>
        <w:spacing w:before="0" w:after="0" w:line="283" w:lineRule="atLeast"/>
        <w:rPr>
          <w:rFonts w:ascii="PT Astra Serif" w:hAnsi="PT Astra Serif" w:cs="PT Astra Serif" w:cstheme="minorBidi"/>
          <w:sz w:val="26"/>
          <w:szCs w:val="26"/>
        </w:rPr>
        <w:suppressLineNumbers w:val="0"/>
      </w:pPr>
      <w:r>
        <w:rPr>
          <w:rFonts w:ascii="PT Astra Serif" w:hAnsi="PT Astra Serif" w:eastAsia="PT Astra Serif" w:cs="PT Astra Serif" w:eastAsiaTheme="minorHAnsi"/>
          <w:sz w:val="26"/>
          <w:szCs w:val="26"/>
          <w:lang w:eastAsia="en-US"/>
        </w:rPr>
        <w:t xml:space="preserve">П</w:t>
      </w:r>
      <w:r>
        <w:rPr>
          <w:rFonts w:ascii="PT Astra Serif" w:hAnsi="PT Astra Serif" w:eastAsia="PT Astra Serif" w:cs="PT Astra Serif" w:eastAsiaTheme="minorHAnsi"/>
          <w:sz w:val="26"/>
          <w:szCs w:val="26"/>
          <w:lang w:eastAsia="en-US"/>
        </w:rPr>
        <w:t xml:space="preserve">рокуратура обратилась с требованиями</w:t>
      </w:r>
      <w:r>
        <w:rPr>
          <w:rFonts w:ascii="PT Astra Serif" w:hAnsi="PT Astra Serif" w:eastAsia="PT Astra Serif" w:cs="PT Astra Serif" w:eastAsiaTheme="minorHAnsi"/>
          <w:sz w:val="26"/>
          <w:szCs w:val="26"/>
          <w:lang w:eastAsia="en-US"/>
        </w:rPr>
        <w:t xml:space="preserve"> </w:t>
      </w:r>
      <w:r>
        <w:rPr>
          <w:rFonts w:ascii="PT Astra Serif" w:hAnsi="PT Astra Serif" w:eastAsia="PT Astra Serif" w:cs="PT Astra Serif" w:eastAsiaTheme="minorHAnsi"/>
          <w:sz w:val="26"/>
          <w:szCs w:val="26"/>
          <w:lang w:eastAsia="en-US"/>
        </w:rPr>
        <w:t xml:space="preserve">о признании </w:t>
      </w:r>
      <w:r>
        <w:rPr>
          <w:rFonts w:ascii="PT Astra Serif" w:hAnsi="PT Astra Serif" w:eastAsia="PT Astra Serif" w:cs="PT Astra Serif" w:eastAsiaTheme="minorHAnsi"/>
          <w:sz w:val="26"/>
          <w:szCs w:val="26"/>
          <w:lang w:eastAsia="en-US"/>
        </w:rPr>
        <w:t xml:space="preserve">распоряжени</w:t>
      </w:r>
      <w:r>
        <w:rPr>
          <w:rFonts w:ascii="PT Astra Serif" w:hAnsi="PT Astra Serif" w:eastAsia="PT Astra Serif" w:cs="PT Astra Serif" w:eastAsiaTheme="minorHAnsi"/>
          <w:sz w:val="26"/>
          <w:szCs w:val="26"/>
          <w:lang w:eastAsia="en-US"/>
        </w:rPr>
        <w:t xml:space="preserve">я </w:t>
      </w:r>
      <w:r>
        <w:rPr>
          <w:rFonts w:ascii="PT Astra Serif" w:hAnsi="PT Astra Serif" w:eastAsia="PT Astra Serif" w:cs="PT Astra Serif" w:eastAsiaTheme="minorHAnsi"/>
          <w:sz w:val="26"/>
          <w:szCs w:val="26"/>
          <w:lang w:eastAsia="en-US"/>
        </w:rPr>
        <w:t xml:space="preserve">и </w:t>
      </w:r>
      <w:r>
        <w:rPr>
          <w:rFonts w:ascii="PT Astra Serif" w:hAnsi="PT Astra Serif" w:eastAsia="PT Astra Serif" w:cs="PT Astra Serif" w:eastAsiaTheme="minorHAnsi"/>
          <w:sz w:val="26"/>
          <w:szCs w:val="26"/>
          <w:lang w:eastAsia="en-US"/>
        </w:rPr>
        <w:t xml:space="preserve">дополнительн</w:t>
      </w:r>
      <w:r>
        <w:rPr>
          <w:rFonts w:ascii="PT Astra Serif" w:hAnsi="PT Astra Serif" w:eastAsia="PT Astra Serif" w:cs="PT Astra Serif" w:eastAsiaTheme="minorHAnsi"/>
          <w:sz w:val="26"/>
          <w:szCs w:val="26"/>
          <w:lang w:eastAsia="en-US"/>
        </w:rPr>
        <w:t xml:space="preserve">ого </w:t>
      </w:r>
      <w:r>
        <w:rPr>
          <w:rFonts w:ascii="PT Astra Serif" w:hAnsi="PT Astra Serif" w:eastAsia="PT Astra Serif" w:cs="PT Astra Serif" w:eastAsiaTheme="minorHAnsi"/>
          <w:sz w:val="26"/>
          <w:szCs w:val="26"/>
          <w:lang w:eastAsia="en-US"/>
        </w:rPr>
        <w:t xml:space="preserve">соглашени</w:t>
      </w:r>
      <w:r>
        <w:rPr>
          <w:rFonts w:ascii="PT Astra Serif" w:hAnsi="PT Astra Serif" w:eastAsia="PT Astra Serif" w:cs="PT Astra Serif" w:eastAsiaTheme="minorHAnsi"/>
          <w:sz w:val="26"/>
          <w:szCs w:val="26"/>
          <w:lang w:eastAsia="en-US"/>
        </w:rPr>
        <w:t xml:space="preserve">я </w:t>
      </w:r>
      <w:r>
        <w:rPr>
          <w:rFonts w:ascii="PT Astra Serif" w:hAnsi="PT Astra Serif" w:eastAsia="PT Astra Serif" w:cs="PT Astra Serif" w:eastAsiaTheme="minorHAnsi"/>
          <w:sz w:val="26"/>
          <w:szCs w:val="26"/>
          <w:lang w:eastAsia="en-US"/>
        </w:rPr>
        <w:t xml:space="preserve">недействительным</w:t>
      </w:r>
      <w:r>
        <w:rPr>
          <w:rFonts w:ascii="PT Astra Serif" w:hAnsi="PT Astra Serif" w:eastAsia="PT Astra Serif" w:cs="PT Astra Serif" w:eastAsiaTheme="minorHAnsi"/>
          <w:sz w:val="26"/>
          <w:szCs w:val="26"/>
          <w:lang w:eastAsia="en-US"/>
        </w:rPr>
        <w:t xml:space="preserve">и</w:t>
      </w:r>
      <w:r>
        <w:rPr>
          <w:rFonts w:ascii="PT Astra Serif" w:hAnsi="PT Astra Serif" w:eastAsia="PT Astra Serif" w:cs="PT Astra Serif" w:eastAsiaTheme="minorHAnsi"/>
          <w:sz w:val="26"/>
          <w:szCs w:val="26"/>
          <w:lang w:eastAsia="en-US"/>
        </w:rPr>
        <w:t xml:space="preserve"> и о </w:t>
      </w:r>
      <w:r>
        <w:rPr>
          <w:rFonts w:ascii="PT Astra Serif" w:hAnsi="PT Astra Serif" w:eastAsia="PT Astra Serif" w:cs="PT Astra Serif" w:eastAsiaTheme="minorHAnsi"/>
          <w:sz w:val="26"/>
          <w:szCs w:val="26"/>
          <w:lang w:eastAsia="en-US"/>
        </w:rPr>
        <w:t xml:space="preserve">применении последствий недействительности сдел</w:t>
      </w:r>
      <w:r>
        <w:rPr>
          <w:rFonts w:ascii="PT Astra Serif" w:hAnsi="PT Astra Serif" w:eastAsia="PT Astra Serif" w:cs="PT Astra Serif" w:eastAsiaTheme="minorHAnsi"/>
          <w:sz w:val="26"/>
          <w:szCs w:val="26"/>
          <w:lang w:eastAsia="en-US"/>
        </w:rPr>
        <w:t xml:space="preserve">ки </w:t>
      </w:r>
      <w:r>
        <w:rPr>
          <w:rFonts w:ascii="PT Astra Serif" w:hAnsi="PT Astra Serif" w:eastAsia="PT Astra Serif" w:cs="PT Astra Serif" w:eastAsiaTheme="minorHAnsi"/>
          <w:sz w:val="26"/>
          <w:szCs w:val="26"/>
          <w:lang w:eastAsia="en-US"/>
        </w:rPr>
        <w:t xml:space="preserve">в виде возврата денежных средств, полученных </w:t>
      </w:r>
      <w:r>
        <w:rPr>
          <w:rFonts w:ascii="PT Astra Serif" w:hAnsi="PT Astra Serif" w:eastAsia="PT Astra Serif" w:cs="PT Astra Serif" w:eastAsiaTheme="minorHAnsi"/>
          <w:sz w:val="26"/>
          <w:szCs w:val="26"/>
          <w:lang w:eastAsia="en-US"/>
        </w:rPr>
        <w:t xml:space="preserve">подрядчиком </w:t>
      </w:r>
      <w:r>
        <w:rPr>
          <w:rFonts w:ascii="PT Astra Serif" w:hAnsi="PT Astra Serif" w:eastAsia="PT Astra Serif" w:cs="PT Astra Serif" w:eastAsiaTheme="minorHAnsi"/>
          <w:sz w:val="26"/>
          <w:szCs w:val="26"/>
          <w:lang w:eastAsia="en-US"/>
        </w:rPr>
        <w:t xml:space="preserve">в качестве аванса.</w:t>
      </w:r>
      <w:r>
        <w:rPr>
          <w:rFonts w:ascii="PT Astra Serif" w:hAnsi="PT Astra Serif" w:eastAsia="PT Astra Serif" w:cs="PT Astra Serif" w:eastAsiaTheme="minorHAnsi"/>
          <w:sz w:val="26"/>
          <w:szCs w:val="26"/>
          <w:lang w:eastAsia="en-US"/>
        </w:rPr>
      </w:r>
      <w:r>
        <w:rPr>
          <w:rFonts w:ascii="PT Astra Serif" w:hAnsi="PT Astra Serif" w:eastAsia="PT Astra Serif" w:cs="PT Astra Serif" w:eastAsiaTheme="minorHAnsi"/>
          <w:sz w:val="26"/>
          <w:szCs w:val="26"/>
          <w:lang w:eastAsia="en-US"/>
        </w:rPr>
      </w:r>
    </w:p>
    <w:p>
      <w:pPr>
        <w:contextualSpacing w:val="0"/>
        <w:ind w:firstLine="708"/>
        <w:jc w:val="both"/>
        <w:spacing w:before="0" w:after="0" w:line="283" w:lineRule="atLeast"/>
        <w:rPr>
          <w:rFonts w:ascii="PT Astra Serif" w:hAnsi="PT Astra Serif" w:cs="PT Astra Serif" w:cstheme="minorBidi"/>
          <w:sz w:val="26"/>
          <w:szCs w:val="26"/>
        </w:rPr>
        <w:suppressLineNumbers w:val="0"/>
      </w:pPr>
      <w:r>
        <w:rPr>
          <w:rFonts w:ascii="PT Astra Serif" w:hAnsi="PT Astra Serif" w:eastAsia="PT Astra Serif" w:cs="PT Astra Serif" w:eastAsiaTheme="minorHAnsi"/>
          <w:sz w:val="26"/>
          <w:szCs w:val="26"/>
          <w:lang w:eastAsia="en-US"/>
        </w:rPr>
        <w:t xml:space="preserve">О</w:t>
      </w:r>
      <w:r>
        <w:rPr>
          <w:rFonts w:ascii="PT Astra Serif" w:hAnsi="PT Astra Serif" w:eastAsia="PT Astra Serif" w:cs="PT Astra Serif" w:eastAsiaTheme="minorHAnsi"/>
          <w:sz w:val="26"/>
          <w:szCs w:val="26"/>
          <w:lang w:eastAsia="en-US"/>
        </w:rPr>
        <w:t xml:space="preserve">тказывая в удовлетворении заявленных требован</w:t>
      </w:r>
      <w:r>
        <w:rPr>
          <w:rFonts w:ascii="PT Astra Serif" w:hAnsi="PT Astra Serif" w:eastAsia="PT Astra Serif" w:cs="PT Astra Serif" w:eastAsiaTheme="minorHAnsi"/>
          <w:sz w:val="26"/>
          <w:szCs w:val="26"/>
          <w:lang w:eastAsia="en-US"/>
        </w:rPr>
        <w:t xml:space="preserve">ий, суд первой инстанции </w:t>
      </w:r>
      <w:r>
        <w:rPr>
          <w:rFonts w:ascii="PT Astra Serif" w:hAnsi="PT Astra Serif" w:eastAsia="PT Astra Serif" w:cs="PT Astra Serif" w:eastAsiaTheme="minorHAnsi"/>
          <w:sz w:val="26"/>
          <w:szCs w:val="26"/>
          <w:lang w:eastAsia="en-US"/>
        </w:rPr>
        <w:t xml:space="preserve">указал</w:t>
      </w:r>
      <w:r>
        <w:rPr>
          <w:rFonts w:ascii="PT Astra Serif" w:hAnsi="PT Astra Serif" w:eastAsia="PT Astra Serif" w:cs="PT Astra Serif" w:eastAsiaTheme="minorHAnsi"/>
          <w:sz w:val="26"/>
          <w:szCs w:val="26"/>
          <w:lang w:eastAsia="en-US"/>
        </w:rPr>
        <w:t xml:space="preserve"> н</w:t>
      </w:r>
      <w:r>
        <w:rPr>
          <w:rFonts w:ascii="PT Astra Serif" w:hAnsi="PT Astra Serif" w:eastAsia="PT Astra Serif" w:cs="PT Astra Serif" w:eastAsiaTheme="minorHAnsi"/>
          <w:sz w:val="26"/>
          <w:szCs w:val="26"/>
          <w:lang w:eastAsia="en-US"/>
        </w:rPr>
        <w:t xml:space="preserve">а отсутствие нарушений требований Закона № </w:t>
      </w:r>
      <w:r>
        <w:rPr>
          <w:rFonts w:ascii="PT Astra Serif" w:hAnsi="PT Astra Serif" w:eastAsia="PT Astra Serif" w:cs="PT Astra Serif" w:eastAsiaTheme="minorHAnsi"/>
          <w:sz w:val="26"/>
          <w:szCs w:val="26"/>
          <w:lang w:eastAsia="en-US"/>
        </w:rPr>
        <w:t xml:space="preserve">44-ФЗ</w:t>
      </w:r>
      <w:r>
        <w:rPr>
          <w:rFonts w:ascii="PT Astra Serif" w:hAnsi="PT Astra Serif" w:eastAsia="PT Astra Serif" w:cs="PT Astra Serif" w:eastAsiaTheme="minorHAnsi"/>
          <w:sz w:val="26"/>
          <w:szCs w:val="26"/>
          <w:lang w:eastAsia="en-US"/>
        </w:rPr>
        <w:t xml:space="preserve">. </w:t>
      </w:r>
      <w:r>
        <w:rPr>
          <w:rFonts w:ascii="PT Astra Serif" w:hAnsi="PT Astra Serif" w:eastAsia="PT Astra Serif" w:cs="PT Astra Serif" w:eastAsiaTheme="minorHAnsi"/>
          <w:sz w:val="26"/>
          <w:szCs w:val="26"/>
          <w:lang w:eastAsia="en-US"/>
        </w:rPr>
        <w:t xml:space="preserve">А</w:t>
      </w:r>
      <w:r>
        <w:rPr>
          <w:rFonts w:ascii="PT Astra Serif" w:hAnsi="PT Astra Serif" w:eastAsia="PT Astra Serif" w:cs="PT Astra Serif" w:eastAsiaTheme="minorHAnsi"/>
          <w:sz w:val="26"/>
          <w:szCs w:val="26"/>
          <w:lang w:eastAsia="en-US"/>
        </w:rPr>
        <w:t xml:space="preserve">вансовый платеж получен обществом на</w:t>
      </w:r>
      <w:r>
        <w:rPr>
          <w:rFonts w:ascii="PT Astra Serif" w:hAnsi="PT Astra Serif" w:eastAsia="PT Astra Serif" w:cs="PT Astra Serif" w:eastAsiaTheme="minorHAnsi"/>
          <w:sz w:val="26"/>
          <w:szCs w:val="26"/>
          <w:lang w:eastAsia="en-US"/>
        </w:rPr>
        <w:t xml:space="preserve"> </w:t>
      </w:r>
      <w:r>
        <w:rPr>
          <w:rFonts w:ascii="PT Astra Serif" w:hAnsi="PT Astra Serif" w:eastAsia="PT Astra Serif" w:cs="PT Astra Serif" w:eastAsiaTheme="minorHAnsi"/>
          <w:sz w:val="26"/>
          <w:szCs w:val="26"/>
          <w:lang w:eastAsia="en-US"/>
        </w:rPr>
        <w:t xml:space="preserve">законных </w:t>
      </w:r>
      <w:r>
        <w:rPr>
          <w:rFonts w:ascii="PT Astra Serif" w:hAnsi="PT Astra Serif" w:eastAsia="PT Astra Serif" w:cs="PT Astra Serif" w:eastAsiaTheme="minorHAnsi"/>
          <w:sz w:val="26"/>
          <w:szCs w:val="26"/>
          <w:lang w:eastAsia="en-US"/>
        </w:rPr>
        <w:t xml:space="preserve">основания</w:t>
      </w:r>
      <w:r>
        <w:rPr>
          <w:rFonts w:ascii="PT Astra Serif" w:hAnsi="PT Astra Serif" w:eastAsia="PT Astra Serif" w:cs="PT Astra Serif" w:eastAsiaTheme="minorHAnsi"/>
          <w:sz w:val="26"/>
          <w:szCs w:val="26"/>
          <w:lang w:eastAsia="en-US"/>
        </w:rPr>
        <w:t xml:space="preserve">х</w:t>
      </w:r>
      <w:r>
        <w:rPr>
          <w:rFonts w:ascii="PT Astra Serif" w:hAnsi="PT Astra Serif" w:eastAsia="PT Astra Serif" w:cs="PT Astra Serif" w:eastAsiaTheme="minorHAnsi"/>
          <w:sz w:val="26"/>
          <w:szCs w:val="26"/>
          <w:lang w:eastAsia="en-US"/>
        </w:rPr>
        <w:t xml:space="preserve"> (</w:t>
      </w:r>
      <w:r>
        <w:rPr>
          <w:rFonts w:ascii="PT Astra Serif" w:hAnsi="PT Astra Serif" w:eastAsia="PT Astra Serif" w:cs="PT Astra Serif" w:eastAsiaTheme="minorHAnsi"/>
          <w:sz w:val="26"/>
          <w:szCs w:val="26"/>
          <w:lang w:eastAsia="en-US"/>
        </w:rPr>
        <w:t xml:space="preserve">решени</w:t>
      </w:r>
      <w:r>
        <w:rPr>
          <w:rFonts w:ascii="PT Astra Serif" w:hAnsi="PT Astra Serif" w:eastAsia="PT Astra Serif" w:cs="PT Astra Serif" w:eastAsiaTheme="minorHAnsi"/>
          <w:sz w:val="26"/>
          <w:szCs w:val="26"/>
          <w:lang w:eastAsia="en-US"/>
        </w:rPr>
        <w:t xml:space="preserve">е </w:t>
      </w:r>
      <w:r>
        <w:rPr>
          <w:rFonts w:ascii="PT Astra Serif" w:hAnsi="PT Astra Serif" w:eastAsia="PT Astra Serif" w:cs="PT Astra Serif" w:eastAsiaTheme="minorHAnsi"/>
          <w:sz w:val="26"/>
          <w:szCs w:val="26"/>
          <w:lang w:eastAsia="en-US"/>
        </w:rPr>
        <w:t xml:space="preserve">высшего исполнительного органа </w:t>
      </w:r>
      <w:r>
        <w:rPr>
          <w:rFonts w:ascii="PT Astra Serif" w:hAnsi="PT Astra Serif" w:eastAsia="PT Astra Serif" w:cs="PT Astra Serif" w:eastAsiaTheme="minorHAnsi"/>
          <w:sz w:val="26"/>
          <w:szCs w:val="26"/>
          <w:lang w:eastAsia="en-US"/>
        </w:rPr>
        <w:t xml:space="preserve">государственной власти субъекта</w:t>
      </w:r>
      <w:r>
        <w:rPr>
          <w:rFonts w:ascii="PT Astra Serif" w:hAnsi="PT Astra Serif" w:eastAsia="PT Astra Serif" w:cs="PT Astra Serif" w:eastAsiaTheme="minorHAnsi"/>
          <w:sz w:val="26"/>
          <w:szCs w:val="26"/>
          <w:lang w:eastAsia="en-US"/>
        </w:rPr>
        <w:t xml:space="preserve"> в соответствии с частью 65.1 статьи 112 Закона № 44-ФЗ</w:t>
      </w:r>
      <w:r>
        <w:rPr>
          <w:rFonts w:ascii="PT Astra Serif" w:hAnsi="PT Astra Serif" w:eastAsia="PT Astra Serif" w:cs="PT Astra Serif" w:eastAsiaTheme="minorHAnsi"/>
          <w:sz w:val="26"/>
          <w:szCs w:val="26"/>
          <w:lang w:eastAsia="en-US"/>
        </w:rPr>
        <w:t xml:space="preserve">)</w:t>
      </w:r>
      <w:r>
        <w:rPr>
          <w:rFonts w:ascii="PT Astra Serif" w:hAnsi="PT Astra Serif" w:eastAsia="PT Astra Serif" w:cs="PT Astra Serif" w:eastAsiaTheme="minorHAnsi"/>
          <w:sz w:val="26"/>
          <w:szCs w:val="26"/>
          <w:lang w:eastAsia="en-US"/>
        </w:rPr>
        <w:t xml:space="preserve"> </w:t>
      </w:r>
      <w:r>
        <w:rPr>
          <w:rFonts w:ascii="PT Astra Serif" w:hAnsi="PT Astra Serif" w:eastAsia="PT Astra Serif" w:cs="PT Astra Serif" w:eastAsiaTheme="minorHAnsi"/>
          <w:sz w:val="26"/>
          <w:szCs w:val="26"/>
          <w:lang w:eastAsia="en-US"/>
        </w:rPr>
        <w:t xml:space="preserve">при возникновении </w:t>
      </w:r>
      <w:r>
        <w:rPr>
          <w:rFonts w:ascii="PT Astra Serif" w:hAnsi="PT Astra Serif" w:eastAsia="PT Astra Serif" w:cs="PT Astra Serif" w:eastAsiaTheme="minorHAnsi"/>
          <w:sz w:val="26"/>
          <w:szCs w:val="26"/>
          <w:lang w:eastAsia="en-US"/>
        </w:rPr>
        <w:t xml:space="preserve">обстоятельств, не зависящих от сторон контракта и влекущих невозможность </w:t>
      </w:r>
      <w:r>
        <w:rPr>
          <w:rFonts w:ascii="PT Astra Serif" w:hAnsi="PT Astra Serif" w:eastAsia="PT Astra Serif" w:cs="PT Astra Serif" w:eastAsiaTheme="minorHAnsi"/>
          <w:sz w:val="26"/>
          <w:szCs w:val="26"/>
          <w:lang w:eastAsia="en-US"/>
        </w:rPr>
        <w:t xml:space="preserve">его </w:t>
      </w:r>
      <w:r>
        <w:rPr>
          <w:rFonts w:ascii="PT Astra Serif" w:hAnsi="PT Astra Serif" w:eastAsia="PT Astra Serif" w:cs="PT Astra Serif" w:eastAsiaTheme="minorHAnsi"/>
          <w:sz w:val="26"/>
          <w:szCs w:val="26"/>
          <w:lang w:eastAsia="en-US"/>
        </w:rPr>
        <w:t xml:space="preserve">исполнения.</w:t>
      </w:r>
      <w:r>
        <w:rPr>
          <w:rFonts w:ascii="PT Astra Serif" w:hAnsi="PT Astra Serif" w:eastAsia="PT Astra Serif" w:cs="PT Astra Serif" w:eastAsiaTheme="minorHAnsi"/>
          <w:sz w:val="26"/>
          <w:szCs w:val="26"/>
          <w:lang w:eastAsia="en-US"/>
        </w:rPr>
      </w:r>
      <w:r>
        <w:rPr>
          <w:rFonts w:ascii="PT Astra Serif" w:hAnsi="PT Astra Serif" w:eastAsia="PT Astra Serif" w:cs="PT Astra Serif" w:eastAsiaTheme="minorHAnsi"/>
          <w:sz w:val="26"/>
          <w:szCs w:val="26"/>
          <w:lang w:eastAsia="en-US"/>
        </w:rPr>
      </w:r>
    </w:p>
    <w:p>
      <w:pPr>
        <w:contextualSpacing w:val="0"/>
        <w:ind w:firstLine="708"/>
        <w:jc w:val="both"/>
        <w:spacing w:before="0" w:after="0" w:line="283" w:lineRule="atLeast"/>
        <w:rPr>
          <w:rFonts w:ascii="PT Astra Serif" w:hAnsi="PT Astra Serif" w:cs="PT Astra Serif" w:cstheme="minorBidi"/>
          <w:sz w:val="26"/>
          <w:szCs w:val="26"/>
        </w:rPr>
        <w:suppressLineNumbers w:val="0"/>
      </w:pPr>
      <w:r>
        <w:rPr>
          <w:rFonts w:ascii="PT Astra Serif" w:hAnsi="PT Astra Serif" w:eastAsia="PT Astra Serif" w:cs="PT Astra Serif" w:eastAsiaTheme="minorHAnsi"/>
          <w:sz w:val="26"/>
          <w:szCs w:val="26"/>
          <w:lang w:eastAsia="en-US"/>
        </w:rPr>
        <w:t xml:space="preserve">Судом </w:t>
      </w:r>
      <w:r>
        <w:rPr>
          <w:rFonts w:ascii="PT Astra Serif" w:hAnsi="PT Astra Serif" w:eastAsia="PT Astra Serif" w:cs="PT Astra Serif" w:eastAsiaTheme="minorHAnsi"/>
          <w:sz w:val="26"/>
          <w:szCs w:val="26"/>
          <w:lang w:eastAsia="en-US"/>
        </w:rPr>
        <w:t xml:space="preserve">апелляционной инстанции</w:t>
      </w:r>
      <w:r>
        <w:rPr>
          <w:rFonts w:ascii="PT Astra Serif" w:hAnsi="PT Astra Serif" w:eastAsia="PT Astra Serif" w:cs="PT Astra Serif" w:eastAsiaTheme="minorHAnsi"/>
          <w:sz w:val="26"/>
          <w:szCs w:val="26"/>
          <w:lang w:eastAsia="en-US"/>
        </w:rPr>
        <w:t xml:space="preserve"> </w:t>
      </w:r>
      <w:r>
        <w:rPr>
          <w:rFonts w:ascii="PT Astra Serif" w:hAnsi="PT Astra Serif" w:eastAsia="PT Astra Serif" w:cs="PT Astra Serif" w:eastAsiaTheme="minorHAnsi"/>
          <w:sz w:val="26"/>
          <w:szCs w:val="26"/>
          <w:lang w:eastAsia="en-US"/>
        </w:rPr>
        <w:t xml:space="preserve">указанно</w:t>
      </w:r>
      <w:r>
        <w:rPr>
          <w:rFonts w:ascii="PT Astra Serif" w:hAnsi="PT Astra Serif" w:eastAsia="PT Astra Serif" w:cs="PT Astra Serif" w:eastAsiaTheme="minorHAnsi"/>
          <w:sz w:val="26"/>
          <w:szCs w:val="26"/>
          <w:lang w:eastAsia="en-US"/>
        </w:rPr>
        <w:t xml:space="preserve">е </w:t>
      </w:r>
      <w:r>
        <w:rPr>
          <w:rFonts w:ascii="PT Astra Serif" w:hAnsi="PT Astra Serif" w:eastAsia="PT Astra Serif" w:cs="PT Astra Serif" w:eastAsiaTheme="minorHAnsi"/>
          <w:sz w:val="26"/>
          <w:szCs w:val="26"/>
          <w:lang w:eastAsia="en-US"/>
        </w:rPr>
        <w:t xml:space="preserve">решение суда </w:t>
      </w:r>
      <w:r>
        <w:rPr>
          <w:rFonts w:ascii="PT Astra Serif" w:hAnsi="PT Astra Serif" w:eastAsia="PT Astra Serif" w:cs="PT Astra Serif" w:eastAsiaTheme="minorHAnsi"/>
          <w:sz w:val="26"/>
          <w:szCs w:val="26"/>
          <w:lang w:eastAsia="en-US"/>
        </w:rPr>
        <w:t xml:space="preserve">отменено, принят новый судебный акт об удовлетворении требований прокуратуры.</w:t>
      </w:r>
      <w:r>
        <w:rPr>
          <w:rFonts w:ascii="PT Astra Serif" w:hAnsi="PT Astra Serif" w:eastAsia="PT Astra Serif" w:cs="PT Astra Serif" w:eastAsiaTheme="minorHAnsi"/>
          <w:sz w:val="26"/>
          <w:szCs w:val="26"/>
          <w:lang w:eastAsia="en-US"/>
        </w:rPr>
      </w:r>
      <w:r>
        <w:rPr>
          <w:rFonts w:ascii="PT Astra Serif" w:hAnsi="PT Astra Serif" w:eastAsia="PT Astra Serif" w:cs="PT Astra Serif" w:eastAsiaTheme="minorHAnsi"/>
          <w:sz w:val="26"/>
          <w:szCs w:val="26"/>
          <w:lang w:eastAsia="en-US"/>
        </w:rPr>
      </w:r>
    </w:p>
    <w:p>
      <w:pPr>
        <w:contextualSpacing w:val="0"/>
        <w:ind w:firstLine="708"/>
        <w:jc w:val="both"/>
        <w:spacing w:before="0" w:after="0" w:line="283" w:lineRule="atLeast"/>
        <w:rPr>
          <w:rFonts w:ascii="PT Astra Serif" w:hAnsi="PT Astra Serif" w:cs="PT Astra Serif" w:cstheme="minorBidi"/>
          <w:sz w:val="26"/>
          <w:szCs w:val="26"/>
        </w:rPr>
        <w:suppressLineNumbers w:val="0"/>
      </w:pPr>
      <w:r>
        <w:rPr>
          <w:rFonts w:ascii="PT Astra Serif" w:hAnsi="PT Astra Serif" w:eastAsia="PT Astra Serif" w:cs="PT Astra Serif" w:eastAsiaTheme="minorHAnsi"/>
          <w:sz w:val="26"/>
          <w:szCs w:val="26"/>
          <w:lang w:eastAsia="en-US"/>
        </w:rPr>
        <w:t xml:space="preserve">Суд </w:t>
      </w:r>
      <w:r>
        <w:rPr>
          <w:rFonts w:ascii="PT Astra Serif" w:hAnsi="PT Astra Serif" w:eastAsia="PT Astra Serif" w:cs="PT Astra Serif" w:eastAsiaTheme="minorHAnsi"/>
          <w:sz w:val="26"/>
          <w:szCs w:val="26"/>
          <w:lang w:eastAsia="en-US"/>
        </w:rPr>
        <w:t xml:space="preserve">указал, что</w:t>
      </w:r>
      <w:r>
        <w:rPr>
          <w:rFonts w:ascii="PT Astra Serif" w:hAnsi="PT Astra Serif" w:eastAsia="PT Astra Serif" w:cs="PT Astra Serif" w:eastAsiaTheme="minorHAnsi"/>
          <w:sz w:val="26"/>
          <w:szCs w:val="26"/>
          <w:lang w:eastAsia="en-US"/>
        </w:rPr>
        <w:t xml:space="preserve"> увеличение объема работ по контракту</w:t>
      </w:r>
      <w:r>
        <w:rPr>
          <w:rFonts w:ascii="PT Astra Serif" w:hAnsi="PT Astra Serif" w:eastAsia="PT Astra Serif" w:cs="PT Astra Serif" w:eastAsiaTheme="minorHAnsi"/>
          <w:sz w:val="26"/>
          <w:szCs w:val="26"/>
          <w:lang w:eastAsia="en-US"/>
        </w:rPr>
        <w:t xml:space="preserve">, </w:t>
      </w:r>
      <w:r>
        <w:rPr>
          <w:rFonts w:ascii="PT Astra Serif" w:hAnsi="PT Astra Serif" w:eastAsia="PT Astra Serif" w:cs="PT Astra Serif" w:eastAsiaTheme="minorHAnsi"/>
          <w:sz w:val="26"/>
          <w:szCs w:val="26"/>
          <w:lang w:eastAsia="en-US"/>
        </w:rPr>
        <w:t xml:space="preserve">заключение подрядчиком договоров н</w:t>
      </w:r>
      <w:r>
        <w:rPr>
          <w:rFonts w:ascii="PT Astra Serif" w:hAnsi="PT Astra Serif" w:eastAsia="PT Astra Serif" w:cs="PT Astra Serif" w:eastAsiaTheme="minorHAnsi"/>
          <w:sz w:val="26"/>
          <w:szCs w:val="26"/>
          <w:lang w:eastAsia="en-US"/>
        </w:rPr>
        <w:t xml:space="preserve">а приобретение материала на условиях авансирования </w:t>
      </w:r>
      <w:r>
        <w:rPr>
          <w:rFonts w:ascii="PT Astra Serif" w:hAnsi="PT Astra Serif" w:eastAsia="PT Astra Serif" w:cs="PT Astra Serif" w:eastAsiaTheme="minorHAnsi"/>
          <w:sz w:val="26"/>
          <w:szCs w:val="26"/>
          <w:lang w:eastAsia="en-US"/>
        </w:rPr>
        <w:t xml:space="preserve">не относятся к </w:t>
      </w:r>
      <w:r>
        <w:rPr>
          <w:rFonts w:ascii="PT Astra Serif" w:hAnsi="PT Astra Serif" w:eastAsia="PT Astra Serif" w:cs="PT Astra Serif" w:eastAsiaTheme="minorHAnsi"/>
          <w:sz w:val="26"/>
          <w:szCs w:val="26"/>
          <w:lang w:eastAsia="en-US"/>
        </w:rPr>
        <w:t xml:space="preserve">обстоятельствам, предусмотренным частью 65.1 статьи 112 Закона № 44-ФЗ, независящим</w:t>
      </w:r>
      <w:r>
        <w:rPr>
          <w:rFonts w:ascii="PT Astra Serif" w:hAnsi="PT Astra Serif" w:eastAsia="PT Astra Serif" w:cs="PT Astra Serif" w:eastAsiaTheme="minorHAnsi"/>
          <w:sz w:val="26"/>
          <w:szCs w:val="26"/>
          <w:lang w:eastAsia="en-US"/>
        </w:rPr>
        <w:t xml:space="preserve"> </w:t>
      </w:r>
      <w:r>
        <w:rPr>
          <w:rFonts w:ascii="PT Astra Serif" w:hAnsi="PT Astra Serif" w:eastAsia="PT Astra Serif" w:cs="PT Astra Serif" w:eastAsiaTheme="minorHAnsi"/>
          <w:sz w:val="26"/>
          <w:szCs w:val="26"/>
          <w:lang w:eastAsia="en-US"/>
        </w:rPr>
        <w:t xml:space="preserve">от сторон контракта и влекущим </w:t>
      </w:r>
      <w:r>
        <w:rPr>
          <w:rFonts w:ascii="PT Astra Serif" w:hAnsi="PT Astra Serif" w:eastAsia="PT Astra Serif" w:cs="PT Astra Serif" w:eastAsiaTheme="minorHAnsi"/>
          <w:sz w:val="26"/>
          <w:szCs w:val="26"/>
          <w:lang w:eastAsia="en-US"/>
        </w:rPr>
        <w:t xml:space="preserve">невозможность его </w:t>
      </w:r>
      <w:r>
        <w:rPr>
          <w:rFonts w:ascii="PT Astra Serif" w:hAnsi="PT Astra Serif" w:eastAsia="PT Astra Serif" w:cs="PT Astra Serif" w:eastAsiaTheme="minorHAnsi"/>
          <w:sz w:val="26"/>
          <w:szCs w:val="26"/>
          <w:lang w:eastAsia="en-US"/>
        </w:rPr>
        <w:t xml:space="preserve">исполнения</w:t>
      </w:r>
      <w:r>
        <w:rPr>
          <w:rFonts w:ascii="PT Astra Serif" w:hAnsi="PT Astra Serif" w:eastAsia="PT Astra Serif" w:cs="PT Astra Serif" w:eastAsiaTheme="minorHAnsi"/>
          <w:sz w:val="26"/>
          <w:szCs w:val="26"/>
          <w:lang w:eastAsia="en-US"/>
        </w:rPr>
        <w:t xml:space="preserve">.</w:t>
      </w:r>
      <w:r>
        <w:rPr>
          <w:rFonts w:ascii="PT Astra Serif" w:hAnsi="PT Astra Serif" w:eastAsia="PT Astra Serif" w:cs="PT Astra Serif" w:eastAsiaTheme="minorHAnsi"/>
          <w:sz w:val="26"/>
          <w:szCs w:val="26"/>
          <w:lang w:eastAsia="en-US"/>
        </w:rPr>
      </w:r>
      <w:r>
        <w:rPr>
          <w:rFonts w:ascii="PT Astra Serif" w:hAnsi="PT Astra Serif" w:eastAsia="PT Astra Serif" w:cs="PT Astra Serif" w:eastAsiaTheme="minorHAnsi"/>
          <w:sz w:val="26"/>
          <w:szCs w:val="26"/>
          <w:lang w:eastAsia="en-US"/>
        </w:rPr>
      </w:r>
    </w:p>
    <w:p>
      <w:pPr>
        <w:contextualSpacing w:val="0"/>
        <w:ind w:firstLine="708"/>
        <w:jc w:val="both"/>
        <w:spacing w:before="0" w:after="0" w:line="283" w:lineRule="atLeast"/>
        <w:rPr>
          <w:rFonts w:ascii="PT Astra Serif" w:hAnsi="PT Astra Serif" w:cs="PT Astra Serif" w:cstheme="minorBidi"/>
          <w:sz w:val="26"/>
          <w:szCs w:val="26"/>
        </w:rPr>
        <w:suppressLineNumbers w:val="0"/>
      </w:pPr>
      <w:r>
        <w:rPr>
          <w:rFonts w:ascii="PT Astra Serif" w:hAnsi="PT Astra Serif" w:eastAsia="PT Astra Serif" w:cs="PT Astra Serif" w:eastAsiaTheme="minorHAnsi"/>
          <w:sz w:val="26"/>
          <w:szCs w:val="26"/>
          <w:lang w:eastAsia="en-US"/>
        </w:rPr>
        <w:t xml:space="preserve">П</w:t>
      </w:r>
      <w:r>
        <w:rPr>
          <w:rFonts w:ascii="PT Astra Serif" w:hAnsi="PT Astra Serif" w:eastAsia="PT Astra Serif" w:cs="PT Astra Serif" w:eastAsiaTheme="minorHAnsi"/>
          <w:sz w:val="26"/>
          <w:szCs w:val="26"/>
          <w:lang w:eastAsia="en-US"/>
        </w:rPr>
        <w:t xml:space="preserve">рин</w:t>
      </w:r>
      <w:r>
        <w:rPr>
          <w:rFonts w:ascii="PT Astra Serif" w:hAnsi="PT Astra Serif" w:eastAsia="PT Astra Serif" w:cs="PT Astra Serif" w:eastAsiaTheme="minorHAnsi"/>
          <w:sz w:val="26"/>
          <w:szCs w:val="26"/>
          <w:lang w:eastAsia="en-US"/>
        </w:rPr>
        <w:t xml:space="preserve">имая </w:t>
      </w:r>
      <w:r>
        <w:rPr>
          <w:rFonts w:ascii="PT Astra Serif" w:hAnsi="PT Astra Serif" w:eastAsia="PT Astra Serif" w:cs="PT Astra Serif" w:eastAsiaTheme="minorHAnsi"/>
          <w:sz w:val="26"/>
          <w:szCs w:val="26"/>
          <w:lang w:eastAsia="en-US"/>
        </w:rPr>
        <w:t xml:space="preserve">участие в закупке, предметом которой являлись од</w:t>
      </w:r>
      <w:r>
        <w:rPr>
          <w:rFonts w:ascii="PT Astra Serif" w:hAnsi="PT Astra Serif" w:eastAsia="PT Astra Serif" w:cs="PT Astra Serif" w:eastAsiaTheme="minorHAnsi"/>
          <w:sz w:val="26"/>
          <w:szCs w:val="26"/>
          <w:lang w:eastAsia="en-US"/>
        </w:rPr>
        <w:t xml:space="preserve">новременно подготовка проектной </w:t>
      </w:r>
      <w:r>
        <w:rPr>
          <w:rFonts w:ascii="PT Astra Serif" w:hAnsi="PT Astra Serif" w:eastAsia="PT Astra Serif" w:cs="PT Astra Serif" w:eastAsiaTheme="minorHAnsi"/>
          <w:sz w:val="26"/>
          <w:szCs w:val="26"/>
          <w:lang w:eastAsia="en-US"/>
        </w:rPr>
        <w:t xml:space="preserve">документации и выполнение строительно-монтажн</w:t>
      </w:r>
      <w:r>
        <w:rPr>
          <w:rFonts w:ascii="PT Astra Serif" w:hAnsi="PT Astra Serif" w:eastAsia="PT Astra Serif" w:cs="PT Astra Serif" w:eastAsiaTheme="minorHAnsi"/>
          <w:sz w:val="26"/>
          <w:szCs w:val="26"/>
          <w:lang w:eastAsia="en-US"/>
        </w:rPr>
        <w:t xml:space="preserve">ых работ в значительном объеме, </w:t>
      </w:r>
      <w:r>
        <w:rPr>
          <w:rFonts w:ascii="PT Astra Serif" w:hAnsi="PT Astra Serif" w:eastAsia="PT Astra Serif" w:cs="PT Astra Serif" w:eastAsiaTheme="minorHAnsi"/>
          <w:sz w:val="26"/>
          <w:szCs w:val="26"/>
          <w:lang w:eastAsia="en-US"/>
        </w:rPr>
        <w:t xml:space="preserve">общество согласилось с предложенными условиями, в том числе исключающими выплату аванса.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У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казанные </w:t>
      </w:r>
      <w:r>
        <w:rPr>
          <w:rFonts w:ascii="PT Astra Serif" w:hAnsi="PT Astra Serif" w:eastAsia="PT Astra Serif" w:cs="PT Astra Serif" w:eastAsiaTheme="minorHAnsi"/>
          <w:sz w:val="26"/>
          <w:szCs w:val="26"/>
          <w:lang w:eastAsia="en-US"/>
        </w:rPr>
        <w:t xml:space="preserve">обществом обстоятельства</w:t>
      </w:r>
      <w:r>
        <w:rPr>
          <w:rFonts w:ascii="PT Astra Serif" w:hAnsi="PT Astra Serif" w:eastAsia="PT Astra Serif" w:cs="PT Astra Serif" w:eastAsiaTheme="minorHAnsi"/>
          <w:sz w:val="26"/>
          <w:szCs w:val="26"/>
          <w:lang w:eastAsia="en-US"/>
        </w:rPr>
        <w:t xml:space="preserve"> </w:t>
      </w:r>
      <w:r>
        <w:rPr>
          <w:rFonts w:ascii="PT Astra Serif" w:hAnsi="PT Astra Serif" w:eastAsia="PT Astra Serif" w:cs="PT Astra Serif" w:eastAsiaTheme="minorHAnsi"/>
          <w:sz w:val="26"/>
          <w:szCs w:val="26"/>
          <w:lang w:eastAsia="en-US"/>
        </w:rPr>
        <w:t xml:space="preserve">квалифицированы судом в качестве предпринимательских рисков.</w:t>
      </w:r>
      <w:r>
        <w:rPr>
          <w:rFonts w:ascii="PT Astra Serif" w:hAnsi="PT Astra Serif" w:eastAsia="PT Astra Serif" w:cs="PT Astra Serif" w:eastAsiaTheme="minorHAnsi"/>
          <w:sz w:val="26"/>
          <w:szCs w:val="26"/>
          <w:lang w:eastAsia="en-US"/>
        </w:rPr>
      </w:r>
      <w:r>
        <w:rPr>
          <w:rFonts w:ascii="PT Astra Serif" w:hAnsi="PT Astra Serif" w:eastAsia="PT Astra Serif" w:cs="PT Astra Serif" w:eastAsiaTheme="minorHAnsi"/>
          <w:sz w:val="26"/>
          <w:szCs w:val="26"/>
          <w:lang w:eastAsia="en-US"/>
        </w:rPr>
      </w:r>
    </w:p>
    <w:p>
      <w:pPr>
        <w:contextualSpacing w:val="0"/>
        <w:ind w:firstLine="708"/>
        <w:jc w:val="both"/>
        <w:spacing w:before="0" w:after="0" w:line="283" w:lineRule="atLeast"/>
        <w:rPr>
          <w:rFonts w:ascii="PT Astra Serif" w:hAnsi="PT Astra Serif" w:cs="PT Astra Serif" w:cstheme="minorBidi"/>
          <w:sz w:val="26"/>
          <w:szCs w:val="26"/>
        </w:rPr>
        <w:suppressLineNumbers w:val="0"/>
      </w:pPr>
      <w:r>
        <w:rPr>
          <w:rFonts w:ascii="PT Astra Serif" w:hAnsi="PT Astra Serif" w:eastAsia="PT Astra Serif" w:cs="PT Astra Serif" w:eastAsiaTheme="minorHAnsi"/>
          <w:sz w:val="26"/>
          <w:szCs w:val="26"/>
          <w:lang w:eastAsia="en-US"/>
        </w:rPr>
        <w:t xml:space="preserve">Суд принял решение </w:t>
      </w:r>
      <w:r>
        <w:rPr>
          <w:rFonts w:ascii="PT Astra Serif" w:hAnsi="PT Astra Serif" w:eastAsia="PT Astra Serif" w:cs="PT Astra Serif" w:eastAsiaTheme="minorHAnsi"/>
          <w:sz w:val="26"/>
          <w:szCs w:val="26"/>
          <w:lang w:eastAsia="en-US"/>
        </w:rPr>
        <w:t xml:space="preserve">о недей</w:t>
      </w:r>
      <w:r>
        <w:rPr>
          <w:rFonts w:ascii="PT Astra Serif" w:hAnsi="PT Astra Serif" w:eastAsia="PT Astra Serif" w:cs="PT Astra Serif" w:eastAsiaTheme="minorHAnsi"/>
          <w:sz w:val="26"/>
          <w:szCs w:val="26"/>
          <w:lang w:eastAsia="en-US"/>
        </w:rPr>
        <w:t xml:space="preserve">ствительности </w:t>
      </w:r>
      <w:r>
        <w:rPr>
          <w:rFonts w:ascii="PT Astra Serif" w:hAnsi="PT Astra Serif" w:eastAsia="PT Astra Serif" w:cs="PT Astra Serif" w:eastAsiaTheme="minorHAnsi"/>
          <w:sz w:val="26"/>
          <w:szCs w:val="26"/>
          <w:lang w:eastAsia="en-US"/>
        </w:rPr>
        <w:t xml:space="preserve">распоряжения и </w:t>
      </w:r>
      <w:r>
        <w:rPr>
          <w:rFonts w:ascii="PT Astra Serif" w:hAnsi="PT Astra Serif" w:eastAsia="PT Astra Serif" w:cs="PT Astra Serif" w:eastAsiaTheme="minorHAnsi"/>
          <w:sz w:val="26"/>
          <w:szCs w:val="26"/>
          <w:lang w:eastAsia="en-US"/>
        </w:rPr>
        <w:t xml:space="preserve">дополнительн</w:t>
      </w:r>
      <w:r>
        <w:rPr>
          <w:rFonts w:ascii="PT Astra Serif" w:hAnsi="PT Astra Serif" w:eastAsia="PT Astra Serif" w:cs="PT Astra Serif" w:eastAsiaTheme="minorHAnsi"/>
          <w:sz w:val="26"/>
          <w:szCs w:val="26"/>
          <w:lang w:eastAsia="en-US"/>
        </w:rPr>
        <w:t xml:space="preserve">ых </w:t>
      </w:r>
      <w:r>
        <w:rPr>
          <w:rFonts w:ascii="PT Astra Serif" w:hAnsi="PT Astra Serif" w:eastAsia="PT Astra Serif" w:cs="PT Astra Serif" w:eastAsiaTheme="minorHAnsi"/>
          <w:sz w:val="26"/>
          <w:szCs w:val="26"/>
          <w:lang w:eastAsia="en-US"/>
        </w:rPr>
        <w:t xml:space="preserve">соглашени</w:t>
      </w:r>
      <w:r>
        <w:rPr>
          <w:rFonts w:ascii="PT Astra Serif" w:hAnsi="PT Astra Serif" w:eastAsia="PT Astra Serif" w:cs="PT Astra Serif" w:eastAsiaTheme="minorHAnsi"/>
          <w:sz w:val="26"/>
          <w:szCs w:val="26"/>
          <w:lang w:eastAsia="en-US"/>
        </w:rPr>
        <w:t xml:space="preserve">й</w:t>
      </w:r>
      <w:r>
        <w:rPr>
          <w:rFonts w:ascii="PT Astra Serif" w:hAnsi="PT Astra Serif" w:eastAsia="PT Astra Serif" w:cs="PT Astra Serif" w:eastAsiaTheme="minorHAnsi"/>
          <w:sz w:val="26"/>
          <w:szCs w:val="26"/>
          <w:lang w:eastAsia="en-US"/>
        </w:rPr>
        <w:t xml:space="preserve">.</w:t>
      </w:r>
      <w:r>
        <w:rPr>
          <w:rFonts w:ascii="PT Astra Serif" w:hAnsi="PT Astra Serif" w:eastAsia="PT Astra Serif" w:cs="PT Astra Serif" w:eastAsiaTheme="minorHAnsi"/>
          <w:sz w:val="26"/>
          <w:szCs w:val="26"/>
          <w:lang w:eastAsia="en-US"/>
        </w:rPr>
      </w:r>
      <w:r>
        <w:rPr>
          <w:rFonts w:ascii="PT Astra Serif" w:hAnsi="PT Astra Serif" w:eastAsia="PT Astra Serif" w:cs="PT Astra Serif" w:eastAsiaTheme="minorHAnsi"/>
          <w:sz w:val="26"/>
          <w:szCs w:val="26"/>
          <w:lang w:eastAsia="en-US"/>
        </w:rPr>
      </w:r>
    </w:p>
    <w:p>
      <w:pPr>
        <w:contextualSpacing w:val="0"/>
        <w:ind w:firstLine="708"/>
        <w:jc w:val="both"/>
        <w:spacing w:before="0" w:after="0" w:line="283" w:lineRule="atLeast"/>
        <w:rPr>
          <w:rFonts w:ascii="PT Astra Serif" w:hAnsi="PT Astra Serif" w:cs="PT Astra Serif" w:cstheme="minorBidi"/>
          <w:sz w:val="26"/>
          <w:szCs w:val="26"/>
        </w:rPr>
        <w:suppressLineNumbers w:val="0"/>
      </w:pPr>
      <w:r>
        <w:rPr>
          <w:rFonts w:ascii="PT Astra Serif" w:hAnsi="PT Astra Serif" w:eastAsia="PT Astra Serif" w:cs="PT Astra Serif" w:eastAsiaTheme="minorHAnsi"/>
          <w:sz w:val="26"/>
          <w:szCs w:val="26"/>
          <w:lang w:eastAsia="en-US"/>
        </w:rPr>
        <w:t xml:space="preserve">Кассационная инстанция</w:t>
      </w:r>
      <w:r>
        <w:rPr>
          <w:rFonts w:ascii="PT Astra Serif" w:hAnsi="PT Astra Serif" w:eastAsia="PT Astra Serif" w:cs="PT Astra Serif" w:eastAsiaTheme="minorHAnsi"/>
          <w:sz w:val="26"/>
          <w:szCs w:val="26"/>
          <w:lang w:eastAsia="en-US"/>
        </w:rPr>
        <w:t xml:space="preserve"> </w:t>
      </w:r>
      <w:r>
        <w:rPr>
          <w:rFonts w:ascii="PT Astra Serif" w:hAnsi="PT Astra Serif" w:eastAsia="PT Astra Serif" w:cs="PT Astra Serif" w:eastAsiaTheme="minorHAnsi"/>
          <w:sz w:val="26"/>
          <w:szCs w:val="26"/>
          <w:lang w:eastAsia="en-US"/>
        </w:rPr>
        <w:t xml:space="preserve">оснований для отмены судебн</w:t>
      </w:r>
      <w:r>
        <w:rPr>
          <w:rFonts w:ascii="PT Astra Serif" w:hAnsi="PT Astra Serif" w:eastAsia="PT Astra Serif" w:cs="PT Astra Serif" w:eastAsiaTheme="minorHAnsi"/>
          <w:sz w:val="26"/>
          <w:szCs w:val="26"/>
          <w:lang w:eastAsia="en-US"/>
        </w:rPr>
        <w:t xml:space="preserve">ого акта апелляционной инстанции </w:t>
      </w:r>
      <w:r>
        <w:rPr>
          <w:rFonts w:ascii="PT Astra Serif" w:hAnsi="PT Astra Serif" w:eastAsia="PT Astra Serif" w:cs="PT Astra Serif" w:eastAsiaTheme="minorHAnsi"/>
          <w:sz w:val="26"/>
          <w:szCs w:val="26"/>
          <w:lang w:eastAsia="en-US"/>
        </w:rPr>
        <w:t xml:space="preserve">и удовлетворения кассационн</w:t>
      </w:r>
      <w:r>
        <w:rPr>
          <w:rFonts w:ascii="PT Astra Serif" w:hAnsi="PT Astra Serif" w:eastAsia="PT Astra Serif" w:cs="PT Astra Serif" w:eastAsiaTheme="minorHAnsi"/>
          <w:sz w:val="26"/>
          <w:szCs w:val="26"/>
          <w:lang w:eastAsia="en-US"/>
        </w:rPr>
        <w:t xml:space="preserve">ых </w:t>
      </w:r>
      <w:r>
        <w:rPr>
          <w:rFonts w:ascii="PT Astra Serif" w:hAnsi="PT Astra Serif" w:eastAsia="PT Astra Serif" w:cs="PT Astra Serif" w:eastAsiaTheme="minorHAnsi"/>
          <w:sz w:val="26"/>
          <w:szCs w:val="26"/>
          <w:lang w:eastAsia="en-US"/>
        </w:rPr>
        <w:t xml:space="preserve">жалоб</w:t>
      </w:r>
      <w:r>
        <w:rPr>
          <w:rFonts w:ascii="PT Astra Serif" w:hAnsi="PT Astra Serif" w:eastAsia="PT Astra Serif" w:cs="PT Astra Serif" w:eastAsiaTheme="minorHAnsi"/>
          <w:sz w:val="26"/>
          <w:szCs w:val="26"/>
          <w:lang w:eastAsia="en-US"/>
        </w:rPr>
        <w:t xml:space="preserve"> </w:t>
      </w:r>
      <w:r>
        <w:rPr>
          <w:rFonts w:ascii="PT Astra Serif" w:hAnsi="PT Astra Serif" w:eastAsia="PT Astra Serif" w:cs="PT Astra Serif" w:eastAsiaTheme="minorHAnsi"/>
          <w:sz w:val="26"/>
          <w:szCs w:val="26"/>
          <w:lang w:eastAsia="en-US"/>
        </w:rPr>
        <w:t xml:space="preserve">не установила.</w:t>
      </w:r>
      <w:r>
        <w:rPr>
          <w:rFonts w:ascii="PT Astra Serif" w:hAnsi="PT Astra Serif" w:eastAsia="PT Astra Serif" w:cs="PT Astra Serif" w:eastAsiaTheme="minorHAnsi"/>
          <w:sz w:val="26"/>
          <w:szCs w:val="26"/>
          <w:lang w:eastAsia="en-US"/>
        </w:rPr>
      </w:r>
      <w:r>
        <w:rPr>
          <w:rFonts w:ascii="PT Astra Serif" w:hAnsi="PT Astra Serif" w:eastAsia="PT Astra Serif" w:cs="PT Astra Serif" w:eastAsiaTheme="minorHAnsi"/>
          <w:sz w:val="26"/>
          <w:szCs w:val="26"/>
          <w:lang w:eastAsia="en-US"/>
        </w:rPr>
      </w:r>
    </w:p>
    <w:p>
      <w:pPr>
        <w:contextualSpacing w:val="0"/>
        <w:ind w:firstLine="708"/>
        <w:jc w:val="both"/>
        <w:spacing w:before="0" w:after="0" w:line="283" w:lineRule="atLeast"/>
        <w:rPr>
          <w:rFonts w:ascii="PT Astra Serif" w:hAnsi="PT Astra Serif" w:cs="PT Astra Serif" w:eastAsiaTheme="minorHAnsi" w:cstheme="minorBidi"/>
          <w:sz w:val="26"/>
          <w:szCs w:val="26"/>
          <w:highlight w:val="none"/>
          <w:lang w:eastAsia="en-US"/>
        </w:rPr>
        <w:suppressLineNumbers w:val="0"/>
      </w:pPr>
      <w:r>
        <w:rPr>
          <w:rFonts w:ascii="PT Astra Serif" w:hAnsi="PT Astra Serif" w:eastAsia="PT Astra Serif" w:cs="PT Astra Serif"/>
          <w:color w:val="000000"/>
          <w:sz w:val="26"/>
          <w:szCs w:val="26"/>
        </w:rPr>
        <w:t xml:space="preserve">Верховный суд Российской Федерации не нашел оснований для пересмотра дела.</w:t>
      </w:r>
      <w:r>
        <w:rPr>
          <w:rFonts w:ascii="PT Astra Serif" w:hAnsi="PT Astra Serif" w:eastAsia="PT Astra Serif" w:cs="PT Astra Serif" w:eastAsiaTheme="minorHAnsi"/>
          <w:sz w:val="26"/>
          <w:szCs w:val="26"/>
          <w:highlight w:val="none"/>
          <w:lang w:eastAsia="en-US"/>
        </w:rPr>
      </w:r>
      <w:r>
        <w:rPr>
          <w:rFonts w:ascii="PT Astra Serif" w:hAnsi="PT Astra Serif" w:eastAsia="PT Astra Serif" w:cs="PT Astra Serif" w:eastAsiaTheme="minorHAnsi"/>
          <w:sz w:val="26"/>
          <w:szCs w:val="26"/>
          <w:highlight w:val="none"/>
          <w:lang w:eastAsia="en-US"/>
        </w:rPr>
      </w:r>
    </w:p>
    <w:p>
      <w:pPr>
        <w:contextualSpacing w:val="0"/>
        <w:ind w:firstLine="708"/>
        <w:jc w:val="both"/>
        <w:spacing w:before="0" w:after="0" w:line="283" w:lineRule="atLeast"/>
        <w:rPr>
          <w:rFonts w:ascii="PT Astra Serif" w:hAnsi="PT Astra Serif" w:cs="PT Astra Serif"/>
          <w:sz w:val="26"/>
          <w:szCs w:val="26"/>
          <w:highlight w:val="none"/>
        </w:rPr>
        <w:suppressLineNumbers w:val="0"/>
      </w:pPr>
      <w:r>
        <w:rPr>
          <w:rFonts w:ascii="PT Astra Serif" w:hAnsi="PT Astra Serif" w:cs="PT Astra Serif"/>
          <w:sz w:val="26"/>
          <w:szCs w:val="26"/>
          <w:highlight w:val="none"/>
        </w:rPr>
      </w:r>
      <w:r>
        <w:rPr>
          <w:rFonts w:ascii="PT Astra Serif" w:hAnsi="PT Astra Serif" w:cs="PT Astra Serif"/>
          <w:sz w:val="26"/>
          <w:szCs w:val="26"/>
          <w:highlight w:val="none"/>
        </w:rPr>
      </w:r>
    </w:p>
    <w:p>
      <w:pPr>
        <w:contextualSpacing w:val="0"/>
        <w:ind w:firstLine="708"/>
        <w:jc w:val="both"/>
        <w:spacing w:before="0" w:after="0" w:afterAutospacing="0"/>
        <w:rPr>
          <w:rFonts w:ascii="PT Astra Serif" w:hAnsi="PT Astra Serif" w:cs="PT Astra Serif"/>
          <w:i/>
          <w:sz w:val="26"/>
          <w:szCs w:val="26"/>
        </w:rPr>
        <w:suppressLineNumbers w:val="0"/>
      </w:pPr>
      <w:r>
        <w:rPr>
          <w:rFonts w:ascii="PT Astra Serif" w:hAnsi="PT Astra Serif"/>
          <w:i/>
          <w:sz w:val="26"/>
          <w:szCs w:val="26"/>
        </w:rPr>
        <w:t xml:space="preserve">П</w:t>
      </w:r>
      <w:r>
        <w:rPr>
          <w:rFonts w:ascii="PT Astra Serif" w:hAnsi="PT Astra Serif" w:eastAsia="PT Astra Serif" w:cs="PT Astra Serif"/>
          <w:i/>
          <w:sz w:val="26"/>
          <w:szCs w:val="26"/>
        </w:rPr>
        <w:t xml:space="preserve">остановление Арбитражного суда Западно-Сибирского </w:t>
      </w:r>
      <w:r>
        <w:rPr>
          <w:rFonts w:ascii="PT Astra Serif" w:hAnsi="PT Astra Serif" w:eastAsia="PT Astra Serif" w:cs="PT Astra Serif"/>
          <w:i/>
          <w:sz w:val="26"/>
          <w:szCs w:val="26"/>
        </w:rPr>
        <w:t xml:space="preserve">округа  от</w:t>
      </w:r>
      <w:r>
        <w:rPr>
          <w:rFonts w:ascii="PT Astra Serif" w:hAnsi="PT Astra Serif" w:eastAsia="PT Astra Serif" w:cs="PT Astra Serif"/>
          <w:i/>
          <w:sz w:val="26"/>
          <w:szCs w:val="26"/>
        </w:rPr>
        <w:t xml:space="preserve"> 13.03.2026 по делу № А70-7128/2025</w:t>
      </w:r>
      <w:r>
        <w:rPr>
          <w:rFonts w:ascii="PT Astra Serif" w:hAnsi="PT Astra Serif" w:eastAsia="PT Astra Serif" w:cs="PT Astra Serif"/>
          <w:i/>
          <w:sz w:val="26"/>
          <w:szCs w:val="26"/>
        </w:rPr>
      </w:r>
      <w:r>
        <w:rPr>
          <w:rFonts w:ascii="PT Astra Serif" w:hAnsi="PT Astra Serif" w:eastAsia="PT Astra Serif" w:cs="PT Astra Serif"/>
          <w:i/>
          <w:sz w:val="26"/>
          <w:szCs w:val="26"/>
        </w:rPr>
      </w:r>
      <w:r>
        <w:rPr>
          <w:rFonts w:ascii="PT Astra Serif" w:hAnsi="PT Astra Serif" w:eastAsia="PT Astra Serif" w:cs="PT Astra Serif"/>
          <w:i/>
          <w:sz w:val="26"/>
          <w:szCs w:val="26"/>
        </w:rPr>
      </w:r>
      <w:r>
        <w:rPr>
          <w:rFonts w:ascii="PT Astra Serif" w:hAnsi="PT Astra Serif" w:eastAsia="PT Astra Serif" w:cs="PT Astra Serif"/>
          <w:i/>
          <w:sz w:val="26"/>
          <w:szCs w:val="26"/>
        </w:rPr>
      </w:r>
      <w:r>
        <w:rPr>
          <w:rFonts w:ascii="PT Astra Serif" w:hAnsi="PT Astra Serif" w:cs="PT Astra Serif"/>
          <w:i/>
          <w:sz w:val="26"/>
          <w:szCs w:val="26"/>
        </w:rPr>
      </w:r>
      <w:r>
        <w:rPr>
          <w:rFonts w:ascii="PT Astra Serif" w:hAnsi="PT Astra Serif" w:cs="PT Astra Serif"/>
          <w:i/>
          <w:sz w:val="26"/>
          <w:szCs w:val="26"/>
        </w:rPr>
      </w:r>
    </w:p>
    <w:p>
      <w:pPr>
        <w:contextualSpacing w:val="0"/>
        <w:ind w:firstLine="708"/>
        <w:jc w:val="both"/>
        <w:spacing w:before="0" w:after="0" w:afterAutospacing="0"/>
        <w:rPr>
          <w:rFonts w:ascii="PT Astra Serif" w:hAnsi="PT Astra Serif" w:cs="PT Astra Serif" w:cstheme="minorBidi"/>
          <w:sz w:val="26"/>
          <w:szCs w:val="26"/>
        </w:rPr>
        <w:suppressLineNumbers w:val="0"/>
      </w:pPr>
      <w:r>
        <w:rPr>
          <w:rFonts w:ascii="PT Astra Serif" w:hAnsi="PT Astra Serif" w:eastAsia="PT Astra Serif" w:cs="PT Astra Serif" w:eastAsiaTheme="minorHAnsi"/>
          <w:sz w:val="26"/>
          <w:szCs w:val="26"/>
          <w:lang w:eastAsia="en-US"/>
        </w:rPr>
        <w:t xml:space="preserve">Заявител</w:t>
      </w:r>
      <w:r>
        <w:rPr>
          <w:rFonts w:ascii="PT Astra Serif" w:hAnsi="PT Astra Serif" w:eastAsia="PT Astra Serif" w:cs="PT Astra Serif" w:eastAsiaTheme="minorHAnsi"/>
          <w:sz w:val="26"/>
          <w:szCs w:val="26"/>
          <w:lang w:eastAsia="en-US"/>
        </w:rPr>
        <w:t xml:space="preserve">ь</w:t>
      </w:r>
      <w:r>
        <w:rPr>
          <w:rFonts w:ascii="PT Astra Serif" w:hAnsi="PT Astra Serif" w:eastAsia="PT Astra Serif" w:cs="PT Astra Serif" w:eastAsiaTheme="minorHAnsi"/>
          <w:sz w:val="26"/>
          <w:szCs w:val="26"/>
          <w:lang w:eastAsia="en-US"/>
        </w:rPr>
        <w:t xml:space="preserve">: </w:t>
      </w:r>
      <w:r>
        <w:rPr>
          <w:rFonts w:ascii="PT Astra Serif" w:hAnsi="PT Astra Serif" w:eastAsia="PT Astra Serif" w:cs="PT Astra Serif" w:eastAsiaTheme="minorHAnsi"/>
          <w:sz w:val="26"/>
          <w:szCs w:val="26"/>
          <w:lang w:eastAsia="en-US"/>
        </w:rPr>
        <w:t xml:space="preserve">УФАС</w:t>
      </w:r>
      <w:r>
        <w:rPr>
          <w:rFonts w:ascii="PT Astra Serif" w:hAnsi="PT Astra Serif" w:eastAsia="PT Astra Serif" w:cs="PT Astra Serif" w:eastAsiaTheme="minorHAnsi"/>
          <w:sz w:val="26"/>
          <w:szCs w:val="26"/>
          <w:lang w:eastAsia="en-US"/>
        </w:rPr>
      </w:r>
      <w:r>
        <w:rPr>
          <w:rFonts w:ascii="PT Astra Serif" w:hAnsi="PT Astra Serif" w:eastAsia="PT Astra Serif" w:cs="PT Astra Serif" w:eastAsiaTheme="minorHAnsi"/>
          <w:sz w:val="26"/>
          <w:szCs w:val="26"/>
          <w:lang w:eastAsia="en-US"/>
        </w:rPr>
      </w:r>
    </w:p>
    <w:p>
      <w:pPr>
        <w:contextualSpacing w:val="0"/>
        <w:ind w:firstLine="708"/>
        <w:jc w:val="both"/>
        <w:spacing w:before="0" w:after="0" w:afterAutospacing="0"/>
        <w:rPr>
          <w:rFonts w:ascii="PT Astra Serif" w:hAnsi="PT Astra Serif" w:cs="PT Astra Serif" w:cstheme="minorBidi"/>
          <w:sz w:val="26"/>
          <w:szCs w:val="26"/>
        </w:rPr>
        <w:suppressLineNumbers w:val="0"/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П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о результатам подведения итогов конкурса на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 </w:t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поставку и монтаж спортивно-технологического оборудования для создания </w:t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модульных спортивных площадок (Комплект «модульный плавательный бассейн») победителем закупки признано общество 1.</w:t>
      </w:r>
      <w:r>
        <w:rPr>
          <w:rFonts w:ascii="PT Astra Serif" w:hAnsi="PT Astra Serif" w:eastAsia="PT Astra Serif" w:cs="PT Astra Serif" w:eastAsiaTheme="minorHAnsi"/>
          <w:sz w:val="26"/>
          <w:szCs w:val="26"/>
          <w:lang w:eastAsia="en-US"/>
        </w:rPr>
      </w:r>
      <w:r>
        <w:rPr>
          <w:rFonts w:ascii="PT Astra Serif" w:hAnsi="PT Astra Serif" w:eastAsia="PT Astra Serif" w:cs="PT Astra Serif" w:eastAsiaTheme="minorHAnsi"/>
          <w:sz w:val="26"/>
          <w:szCs w:val="26"/>
          <w:lang w:eastAsia="en-US"/>
        </w:rPr>
      </w:r>
    </w:p>
    <w:p>
      <w:pPr>
        <w:contextualSpacing w:val="0"/>
        <w:ind w:firstLine="708"/>
        <w:jc w:val="both"/>
        <w:spacing w:before="0" w:after="0" w:afterAutospacing="0"/>
        <w:rPr>
          <w:rFonts w:ascii="PT Astra Serif" w:hAnsi="PT Astra Serif" w:cs="PT Astra Serif"/>
          <w:sz w:val="26"/>
          <w:szCs w:val="26"/>
          <w:highlight w:val="none"/>
        </w:rPr>
        <w:suppressLineNumbers w:val="0"/>
      </w:pP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Общество 2 обратилось с жалобой в УФАС на действия заказчика при проведении конкурса, указывая </w:t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на неправомерное установление заказчиком в </w:t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извещении о закупке критерия оценки «наличие у участника закупки опыта работы, </w:t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связанного с предметом контракта»: о</w:t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пыт участника закупки </w:t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оценивается на основании исполненных контрактов по поставке модульных зданий </w:t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именно спортивного назначения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(спортивный зал, манеж, бассейн).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Жалоба признана обоснованной.</w:t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</w:r>
    </w:p>
    <w:p>
      <w:pPr>
        <w:contextualSpacing w:val="0"/>
        <w:ind w:firstLine="708"/>
        <w:jc w:val="both"/>
        <w:spacing w:before="0" w:after="0" w:afterAutospacing="0"/>
        <w:rPr>
          <w:rFonts w:ascii="PT Astra Serif" w:hAnsi="PT Astra Serif" w:cs="PT Astra Serif"/>
          <w:sz w:val="26"/>
          <w:szCs w:val="26"/>
          <w:highlight w:val="none"/>
        </w:rPr>
        <w:suppressLineNumbers w:val="0"/>
      </w:pP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  <w:t xml:space="preserve">Не сог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ласившись с указанным решением, победитель закупки (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общество 1) о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братил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о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сь в арбитражный суд с заявлением о признании незаконным решения и предписания антимонопо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льного органа.</w:t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</w:r>
    </w:p>
    <w:p>
      <w:pPr>
        <w:contextualSpacing w:val="0"/>
        <w:ind w:firstLine="708"/>
        <w:jc w:val="both"/>
        <w:spacing w:before="0" w:after="0" w:afterAutospacing="0"/>
        <w:rPr>
          <w:rFonts w:ascii="PT Astra Serif" w:hAnsi="PT Astra Serif" w:cs="PT Astra Serif"/>
          <w:sz w:val="26"/>
          <w:szCs w:val="26"/>
        </w:rPr>
        <w:suppressLineNumbers w:val="0"/>
      </w:pP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  <w:t xml:space="preserve">Р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ешением арбитражного суда в удовлетворении требований отказано.</w:t>
      </w: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</w:r>
    </w:p>
    <w:p>
      <w:pPr>
        <w:contextualSpacing w:val="0"/>
        <w:ind w:firstLine="708"/>
        <w:jc w:val="both"/>
        <w:spacing w:before="0" w:after="0" w:afterAutospacing="0"/>
        <w:rPr>
          <w:rFonts w:ascii="PT Astra Serif" w:hAnsi="PT Astra Serif" w:cs="PT Astra Serif"/>
          <w:sz w:val="26"/>
          <w:szCs w:val="26"/>
        </w:rPr>
        <w:suppressLineNumbers w:val="0"/>
      </w:pP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  <w:t xml:space="preserve">Постановлением суда апелляционной инстанци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и решение суда первой инстанции отменено, о</w:t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спариваемые решение и предписание </w:t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антимонопольного органа признаны недействительными.</w:t>
      </w: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</w:r>
    </w:p>
    <w:p>
      <w:pPr>
        <w:contextualSpacing w:val="0"/>
        <w:ind w:firstLine="708"/>
        <w:jc w:val="both"/>
        <w:spacing w:before="0" w:after="0" w:afterAutospacing="0"/>
        <w:rPr>
          <w:rFonts w:ascii="PT Astra Serif" w:hAnsi="PT Astra Serif" w:cs="PT Astra Serif"/>
          <w:sz w:val="26"/>
          <w:szCs w:val="26"/>
          <w:highlight w:val="none"/>
        </w:rPr>
        <w:suppressLineNumbers w:val="0"/>
      </w:pP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  <w:t xml:space="preserve">Суд апелляционной инстанции </w:t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отметил,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что </w:t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заказчик, используя </w:t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предоставленное ему усмотрение определения сопоставимости предмета контракта в </w:t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целях применения Положения № 2604, правомерно установил критерий закупки, </w:t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направленный на определение того участника, который может обеспечить высокое </w:t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качество самих модульных сооружений (материалов, деталей, проекта).</w:t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</w:r>
    </w:p>
    <w:p>
      <w:pPr>
        <w:contextualSpacing w:val="0"/>
        <w:ind w:firstLine="708"/>
        <w:jc w:val="both"/>
        <w:spacing w:before="0" w:after="0" w:afterAutospacing="0"/>
        <w:rPr>
          <w:rFonts w:ascii="PT Astra Serif" w:hAnsi="PT Astra Serif" w:cs="PT Astra Serif"/>
          <w:highlight w:val="none"/>
        </w:rPr>
        <w:suppressLineNumbers w:val="0"/>
      </w:pPr>
      <w:r>
        <w:rPr>
          <w:rFonts w:ascii="PT Astra Serif" w:hAnsi="PT Astra Serif" w:eastAsia="PT Astra Serif" w:cs="PT Astra Serif"/>
          <w:sz w:val="26"/>
          <w:szCs w:val="26"/>
          <w:highlight w:val="none"/>
        </w:rPr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Требования к таким спортивным модульным объектам не </w:t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сопоставимы со стандартами для других модульных сооружений (например, автобусных </w:t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терминалов, складов, промышленных зданий и пр.). Возведение </w:t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спортивных модульных сооружений делает опыт их поставки ключевым </w:t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критерием при оценке участников закупки. </w:t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Н</w:t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евыполнение дополнительных требований при создании </w:t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модульных спортивных сооружений делает невозможным последующую эксплуатацию спортивных </w:t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сооружений по их функциональному назначению и безопасности.</w:t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</w:r>
    </w:p>
    <w:p>
      <w:pPr>
        <w:contextualSpacing w:val="0"/>
        <w:ind w:firstLine="708"/>
        <w:jc w:val="both"/>
        <w:spacing w:before="0" w:after="0" w:afterAutospacing="0" w:line="283" w:lineRule="atLeast"/>
        <w:rPr>
          <w:rFonts w:ascii="PT Astra Serif" w:hAnsi="PT Astra Serif" w:cs="PT Astra Serif"/>
          <w:sz w:val="26"/>
          <w:szCs w:val="26"/>
          <w:highlight w:val="none"/>
        </w:rPr>
        <w:suppressLineNumbers w:val="0"/>
      </w:pP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  <w:t xml:space="preserve">Не сог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ласившись с постановлением суда апелляционной инстанции, УФАС обратилось с кассационной жалобой, в удовлетворении которой отказано, апелляционное постановление оставлено без изменения.</w:t>
      </w:r>
      <w:r>
        <w:rPr>
          <w:rFonts w:ascii="PT Astra Serif" w:hAnsi="PT Astra Serif" w:eastAsia="PT Astra Serif" w:cs="PT Astra Serif" w:eastAsiaTheme="minorHAnsi"/>
          <w:sz w:val="26"/>
          <w:szCs w:val="26"/>
          <w:highlight w:val="none"/>
          <w:lang w:eastAsia="en-US"/>
        </w:rPr>
      </w:r>
      <w:r>
        <w:rPr>
          <w:rFonts w:ascii="PT Astra Serif" w:hAnsi="PT Astra Serif" w:eastAsia="PT Astra Serif" w:cs="PT Astra Serif" w:eastAsiaTheme="minorHAnsi"/>
          <w:sz w:val="26"/>
          <w:szCs w:val="26"/>
          <w:highlight w:val="none"/>
          <w:lang w:eastAsia="en-US"/>
        </w:rPr>
      </w:r>
    </w:p>
    <w:p>
      <w:pPr>
        <w:contextualSpacing w:val="0"/>
        <w:ind w:firstLine="0"/>
        <w:jc w:val="both"/>
        <w:spacing w:after="0" w:afterAutospacing="0" w:line="288" w:lineRule="atLeast"/>
        <w:rPr>
          <w:rFonts w:ascii="PT Astra Serif" w:hAnsi="PT Astra Serif" w:eastAsia="PT Astra Serif" w:cs="PT Astra Serif"/>
          <w:bCs/>
          <w:i/>
          <w:sz w:val="26"/>
          <w:szCs w:val="26"/>
          <w:lang w:eastAsia="ru-RU"/>
        </w:rPr>
        <w:suppressLineNumbers w:val="0"/>
      </w:pPr>
      <w:r>
        <w:rPr>
          <w:rFonts w:ascii="PT Astra Serif" w:hAnsi="PT Astra Serif" w:eastAsia="PT Astra Serif" w:cs="PT Astra Serif"/>
          <w:i/>
          <w:sz w:val="26"/>
          <w:szCs w:val="26"/>
          <w:highlight w:val="none"/>
          <w:lang w:eastAsia="ru-RU"/>
        </w:rPr>
      </w:r>
      <w:r>
        <w:rPr>
          <w:rFonts w:ascii="PT Astra Serif" w:hAnsi="PT Astra Serif" w:eastAsia="PT Astra Serif" w:cs="PT Astra Serif"/>
          <w:i/>
          <w:sz w:val="26"/>
          <w:szCs w:val="26"/>
          <w:highlight w:val="none"/>
          <w:lang w:eastAsia="ru-RU"/>
        </w:rPr>
      </w:r>
    </w:p>
    <w:p>
      <w:pPr>
        <w:contextualSpacing w:val="0"/>
        <w:ind w:firstLine="709"/>
        <w:jc w:val="both"/>
        <w:spacing w:after="0" w:afterAutospacing="0" w:line="288" w:lineRule="atLeast"/>
        <w:rPr>
          <w:rFonts w:ascii="PT Astra Serif" w:hAnsi="PT Astra Serif" w:eastAsia="PT Astra Serif" w:cs="PT Astra Serif"/>
          <w:bCs/>
          <w:i/>
          <w:sz w:val="26"/>
          <w:szCs w:val="26"/>
          <w:highlight w:val="none"/>
          <w:lang w:eastAsia="ru-RU"/>
        </w:rPr>
        <w:suppressLineNumbers w:val="0"/>
      </w:pPr>
      <w:r>
        <w:rPr>
          <w:rFonts w:ascii="PT Astra Serif" w:hAnsi="PT Astra Serif" w:eastAsia="PT Astra Serif" w:cs="PT Astra Serif"/>
          <w:i/>
          <w:sz w:val="26"/>
          <w:szCs w:val="26"/>
          <w:lang w:eastAsia="ru-RU"/>
        </w:rPr>
      </w:r>
      <w:r>
        <w:rPr>
          <w:rFonts w:ascii="PT Astra Serif" w:hAnsi="PT Astra Serif" w:eastAsia="PT Astra Serif" w:cs="PT Astra Serif"/>
          <w:i/>
          <w:sz w:val="26"/>
          <w:szCs w:val="26"/>
          <w:lang w:eastAsia="ru-RU"/>
        </w:rPr>
        <w:t xml:space="preserve">Постановление Арбитражного суда </w:t>
      </w:r>
      <w:r>
        <w:rPr>
          <w:rFonts w:ascii="PT Astra Serif" w:hAnsi="PT Astra Serif" w:eastAsia="PT Astra Serif" w:cs="PT Astra Serif"/>
          <w:i/>
          <w:sz w:val="26"/>
          <w:szCs w:val="26"/>
          <w:lang w:eastAsia="ru-RU"/>
        </w:rPr>
        <w:t xml:space="preserve">Западно-Сибирского</w:t>
      </w:r>
      <w:r>
        <w:rPr>
          <w:rFonts w:ascii="PT Astra Serif" w:hAnsi="PT Astra Serif" w:eastAsia="PT Astra Serif" w:cs="PT Astra Serif"/>
          <w:i/>
          <w:sz w:val="26"/>
          <w:szCs w:val="26"/>
          <w:lang w:eastAsia="ru-RU"/>
        </w:rPr>
        <w:t xml:space="preserve"> округа от 16.03.2026 по делу № А67-5233/2025 </w:t>
      </w:r>
      <w:r>
        <w:rPr>
          <w:rFonts w:ascii="PT Astra Serif" w:hAnsi="PT Astra Serif" w:cs="PT Astra Serif"/>
          <w:i/>
          <w:sz w:val="26"/>
          <w:szCs w:val="26"/>
        </w:rPr>
      </w:r>
    </w:p>
    <w:p>
      <w:pPr>
        <w:contextualSpacing w:val="0"/>
        <w:ind w:firstLine="709"/>
        <w:jc w:val="both"/>
        <w:spacing w:after="0" w:afterAutospacing="0" w:line="288" w:lineRule="atLeast"/>
        <w:rPr>
          <w:rFonts w:ascii="PT Astra Serif" w:hAnsi="PT Astra Serif" w:eastAsia="PT Astra Serif" w:cs="PT Astra Serif"/>
          <w:sz w:val="26"/>
          <w:szCs w:val="26"/>
          <w:lang w:eastAsia="ru-RU"/>
        </w:rPr>
        <w:suppressLineNumbers w:val="0"/>
      </w:pPr>
      <w:r>
        <w:rPr>
          <w:rFonts w:ascii="PT Astra Serif" w:hAnsi="PT Astra Serif" w:eastAsia="PT Astra Serif" w:cs="PT Astra Serif"/>
          <w:i/>
          <w:sz w:val="26"/>
          <w:szCs w:val="26"/>
          <w:lang w:eastAsia="ru-RU"/>
        </w:rPr>
      </w:r>
      <w:r>
        <w:rPr>
          <w:rFonts w:ascii="PT Astra Serif" w:hAnsi="PT Astra Serif" w:eastAsia="PT Astra Serif" w:cs="PT Astra Serif"/>
          <w:sz w:val="26"/>
          <w:szCs w:val="26"/>
          <w:lang w:eastAsia="ru-RU"/>
        </w:rPr>
        <w:t xml:space="preserve">Заявитель</w:t>
      </w:r>
      <w:r>
        <w:rPr>
          <w:rFonts w:ascii="PT Astra Serif" w:hAnsi="PT Astra Serif" w:eastAsia="PT Astra Serif" w:cs="PT Astra Serif"/>
          <w:sz w:val="26"/>
          <w:szCs w:val="26"/>
          <w:lang w:eastAsia="ru-RU"/>
        </w:rPr>
        <w:t xml:space="preserve">: </w:t>
      </w:r>
      <w:r>
        <w:rPr>
          <w:rFonts w:ascii="PT Astra Serif" w:hAnsi="PT Astra Serif" w:eastAsia="PT Astra Serif" w:cs="PT Astra Serif"/>
          <w:sz w:val="26"/>
          <w:szCs w:val="26"/>
          <w:lang w:eastAsia="ru-RU"/>
        </w:rPr>
        <w:t xml:space="preserve">У</w:t>
      </w:r>
      <w:r>
        <w:rPr>
          <w:rFonts w:ascii="PT Astra Serif" w:hAnsi="PT Astra Serif" w:eastAsia="PT Astra Serif" w:cs="PT Astra Serif"/>
          <w:sz w:val="26"/>
          <w:szCs w:val="26"/>
          <w:lang w:eastAsia="ru-RU"/>
        </w:rPr>
        <w:t xml:space="preserve">ФАС</w:t>
      </w:r>
      <w:r>
        <w:rPr>
          <w:rFonts w:ascii="PT Astra Serif" w:hAnsi="PT Astra Serif" w:eastAsia="PT Astra Serif" w:cs="PT Astra Serif"/>
          <w:sz w:val="26"/>
          <w:szCs w:val="26"/>
          <w:lang w:eastAsia="ru-RU"/>
        </w:rPr>
      </w:r>
      <w:r>
        <w:rPr>
          <w:rFonts w:ascii="PT Astra Serif" w:hAnsi="PT Astra Serif" w:cs="PT Astra Serif"/>
          <w:bCs/>
          <w:i/>
          <w:sz w:val="26"/>
          <w:szCs w:val="26"/>
        </w:rPr>
      </w:r>
    </w:p>
    <w:p>
      <w:pPr>
        <w:contextualSpacing w:val="0"/>
        <w:ind w:firstLine="709"/>
        <w:jc w:val="both"/>
        <w:spacing w:after="0" w:afterAutospacing="0" w:line="288" w:lineRule="atLeast"/>
        <w:rPr>
          <w:rFonts w:ascii="PT Astra Serif" w:hAnsi="PT Astra Serif" w:cs="PT Astra Serif"/>
          <w:bCs/>
          <w:i/>
          <w:sz w:val="26"/>
          <w:szCs w:val="26"/>
        </w:rPr>
        <w:suppressLineNumbers w:val="0"/>
      </w:pPr>
      <w:r>
        <w:rPr>
          <w:rFonts w:ascii="PT Astra Serif" w:hAnsi="PT Astra Serif" w:eastAsia="PT Astra Serif" w:cs="PT Astra Serif"/>
          <w:sz w:val="26"/>
          <w:szCs w:val="26"/>
          <w:lang w:eastAsia="ru-RU"/>
        </w:rPr>
      </w:r>
      <w:r>
        <w:rPr>
          <w:rFonts w:ascii="PT Astra Serif" w:hAnsi="PT Astra Serif" w:eastAsia="PT Astra Serif" w:cs="PT Astra Serif"/>
          <w:sz w:val="26"/>
          <w:szCs w:val="26"/>
          <w:lang w:eastAsia="ru-RU"/>
        </w:rPr>
        <w:t xml:space="preserve">Учреждением размещено извещение</w:t>
      </w:r>
      <w:r>
        <w:rPr>
          <w:rFonts w:ascii="PT Astra Serif" w:hAnsi="PT Astra Serif" w:eastAsia="PT Astra Serif" w:cs="PT Astra Serif"/>
          <w:sz w:val="26"/>
          <w:szCs w:val="26"/>
          <w:lang w:eastAsia="ru-RU"/>
        </w:rPr>
        <w:t xml:space="preserve"> о проведении запроса котировок в электронной форме на проведение проектно-изыскательных работ</w:t>
      </w:r>
      <w:r>
        <w:rPr>
          <w:rFonts w:ascii="PT Astra Serif" w:hAnsi="PT Astra Serif" w:eastAsia="PT Astra Serif" w:cs="PT Astra Serif"/>
          <w:sz w:val="26"/>
          <w:szCs w:val="26"/>
          <w:lang w:eastAsia="ru-RU"/>
        </w:rPr>
        <w:t xml:space="preserve">.</w:t>
      </w:r>
      <w:r>
        <w:rPr>
          <w:rFonts w:ascii="PT Astra Serif" w:hAnsi="PT Astra Serif" w:eastAsia="PT Astra Serif" w:cs="PT Astra Serif"/>
          <w:sz w:val="26"/>
          <w:szCs w:val="26"/>
          <w:lang w:eastAsia="ru-RU"/>
        </w:rPr>
        <w:t xml:space="preserve"> Установлено требование о наличии членства СРО в области инженерных изысканий и архитектурно-строительного проектирования.</w:t>
      </w:r>
      <w:r>
        <w:rPr>
          <w:rFonts w:ascii="PT Astra Serif" w:hAnsi="PT Astra Serif" w:eastAsia="PT Astra Serif" w:cs="PT Astra Serif"/>
          <w:sz w:val="26"/>
          <w:szCs w:val="26"/>
          <w:lang w:eastAsia="ru-RU"/>
        </w:rPr>
        <w:t xml:space="preserve"> </w:t>
      </w:r>
      <w:r>
        <w:rPr>
          <w:rFonts w:ascii="PT Astra Serif" w:hAnsi="PT Astra Serif" w:eastAsia="PT Astra Serif" w:cs="PT Astra Serif"/>
          <w:sz w:val="26"/>
          <w:szCs w:val="26"/>
          <w:lang w:eastAsia="ru-RU"/>
        </w:rPr>
        <w:t xml:space="preserve">К</w:t>
      </w:r>
      <w:r>
        <w:rPr>
          <w:rFonts w:ascii="PT Astra Serif" w:hAnsi="PT Astra Serif" w:eastAsia="PT Astra Serif" w:cs="PT Astra Serif"/>
          <w:sz w:val="26"/>
          <w:szCs w:val="26"/>
          <w:lang w:eastAsia="ru-RU"/>
        </w:rPr>
        <w:t xml:space="preserve">омиссией рассмотрено пять поступивших заявок на участие в закупке, две заявки отклонены (несоответствие требованиям, установленным в извещении).</w:t>
      </w:r>
      <w:r>
        <w:rPr>
          <w:rFonts w:ascii="PT Astra Serif" w:hAnsi="PT Astra Serif" w:eastAsia="PT Astra Serif" w:cs="PT Astra Serif"/>
          <w:sz w:val="26"/>
          <w:szCs w:val="26"/>
          <w:lang w:eastAsia="ru-RU"/>
        </w:rPr>
        <w:t xml:space="preserve"> </w:t>
      </w:r>
      <w:r>
        <w:rPr>
          <w:rFonts w:ascii="PT Astra Serif" w:hAnsi="PT Astra Serif" w:cs="PT Astra Serif"/>
          <w:bCs/>
          <w:i/>
          <w:sz w:val="26"/>
          <w:szCs w:val="26"/>
        </w:rPr>
      </w:r>
      <w:r/>
    </w:p>
    <w:p>
      <w:pPr>
        <w:contextualSpacing w:val="0"/>
        <w:ind w:firstLine="709"/>
        <w:jc w:val="both"/>
        <w:spacing w:after="0" w:afterAutospacing="0" w:line="240" w:lineRule="auto"/>
        <w:rPr>
          <w:rFonts w:ascii="PT Astra Serif" w:hAnsi="PT Astra Serif" w:eastAsia="PT Astra Serif" w:cs="PT Astra Serif"/>
          <w:sz w:val="26"/>
          <w:szCs w:val="26"/>
          <w:lang w:eastAsia="ru-RU"/>
        </w:rPr>
        <w:suppressLineNumbers w:val="0"/>
      </w:pPr>
      <w:r>
        <w:rPr>
          <w:rFonts w:ascii="PT Astra Serif" w:hAnsi="PT Astra Serif" w:eastAsia="PT Astra Serif" w:cs="PT Astra Serif"/>
          <w:sz w:val="26"/>
          <w:szCs w:val="26"/>
          <w:lang w:eastAsia="ru-RU"/>
        </w:rPr>
        <w:t xml:space="preserve">Общество (заявка которого была отклонена), обратилось в УФАС с жалобой</w:t>
      </w:r>
      <w:r>
        <w:rPr>
          <w:rFonts w:ascii="PT Astra Serif" w:hAnsi="PT Astra Serif" w:eastAsia="PT Astra Serif" w:cs="PT Astra Serif"/>
          <w:sz w:val="26"/>
          <w:szCs w:val="26"/>
          <w:lang w:eastAsia="ru-RU"/>
        </w:rPr>
        <w:t xml:space="preserve">.</w:t>
      </w:r>
      <w:r>
        <w:rPr>
          <w:rFonts w:ascii="PT Astra Serif" w:hAnsi="PT Astra Serif" w:eastAsia="PT Astra Serif" w:cs="PT Astra Serif"/>
          <w:sz w:val="26"/>
          <w:szCs w:val="26"/>
          <w:lang w:eastAsia="ru-RU"/>
        </w:rPr>
      </w:r>
      <w:r>
        <w:rPr>
          <w:rFonts w:ascii="PT Astra Serif" w:hAnsi="PT Astra Serif" w:cs="PT Astra Serif"/>
          <w:sz w:val="26"/>
          <w:szCs w:val="26"/>
        </w:rPr>
      </w:r>
    </w:p>
    <w:p>
      <w:pPr>
        <w:contextualSpacing w:val="0"/>
        <w:ind w:firstLine="709"/>
        <w:jc w:val="both"/>
        <w:spacing w:after="0" w:afterAutospacing="0" w:line="240" w:lineRule="auto"/>
        <w:rPr>
          <w:rFonts w:ascii="PT Astra Serif" w:hAnsi="PT Astra Serif" w:cs="PT Astra Serif"/>
          <w:sz w:val="26"/>
          <w:szCs w:val="26"/>
        </w:rPr>
        <w:suppressLineNumbers w:val="0"/>
      </w:pPr>
      <w:r>
        <w:rPr>
          <w:rFonts w:ascii="PT Astra Serif" w:hAnsi="PT Astra Serif" w:eastAsia="PT Astra Serif" w:cs="PT Astra Serif"/>
          <w:sz w:val="26"/>
          <w:szCs w:val="26"/>
          <w:lang w:eastAsia="ru-RU"/>
        </w:rPr>
        <w:t xml:space="preserve">Решением УФАС в действиях Учреждения выявлено нарушение части 6 статьи 31 Закона № 44-ФЗ.</w:t>
      </w:r>
      <w:r>
        <w:rPr>
          <w:rFonts w:ascii="PT Astra Serif" w:hAnsi="PT Astra Serif" w:eastAsia="PT Astra Serif" w:cs="PT Astra Serif"/>
          <w:sz w:val="26"/>
          <w:szCs w:val="26"/>
          <w:lang w:eastAsia="ru-RU"/>
        </w:rPr>
        <w:t xml:space="preserve"> </w:t>
      </w:r>
      <w:r>
        <w:rPr>
          <w:rFonts w:ascii="PT Astra Serif" w:hAnsi="PT Astra Serif" w:eastAsia="PT Astra Serif" w:cs="PT Astra Serif"/>
          <w:sz w:val="26"/>
          <w:szCs w:val="26"/>
          <w:lang w:eastAsia="ru-RU"/>
        </w:rPr>
        <w:t xml:space="preserve"> </w:t>
      </w:r>
      <w:r>
        <w:rPr>
          <w:rFonts w:ascii="PT Astra Serif" w:hAnsi="PT Astra Serif" w:eastAsia="PT Astra Serif" w:cs="PT Astra Serif"/>
          <w:sz w:val="26"/>
          <w:szCs w:val="26"/>
          <w:lang w:eastAsia="ru-RU"/>
        </w:rPr>
        <w:t xml:space="preserve">По мнению </w:t>
      </w:r>
      <w:r>
        <w:rPr>
          <w:rFonts w:ascii="PT Astra Serif" w:hAnsi="PT Astra Serif" w:eastAsia="PT Astra Serif" w:cs="PT Astra Serif"/>
          <w:sz w:val="26"/>
          <w:szCs w:val="26"/>
          <w:lang w:eastAsia="ru-RU"/>
        </w:rPr>
        <w:t xml:space="preserve">УФАС,</w:t>
      </w:r>
      <w:r>
        <w:rPr>
          <w:rFonts w:ascii="PT Astra Serif" w:hAnsi="PT Astra Serif" w:eastAsia="PT Astra Serif" w:cs="PT Astra Serif"/>
          <w:sz w:val="26"/>
          <w:szCs w:val="26"/>
          <w:lang w:eastAsia="ru-RU"/>
        </w:rPr>
        <w:t xml:space="preserve"> если в предмет закупки включены работы, требующие членство в двух </w:t>
      </w:r>
      <w:r>
        <w:rPr>
          <w:rFonts w:ascii="PT Astra Serif" w:hAnsi="PT Astra Serif" w:eastAsia="PT Astra Serif" w:cs="PT Astra Serif"/>
          <w:sz w:val="26"/>
          <w:szCs w:val="26"/>
          <w:lang w:eastAsia="ru-RU"/>
        </w:rPr>
        <w:t xml:space="preserve">СРО, Заказчик должен установить требование о наличии у участника членства лишь в одной СРО. </w:t>
      </w:r>
      <w:r>
        <w:rPr>
          <w:rFonts w:ascii="PT Astra Serif" w:hAnsi="PT Astra Serif" w:eastAsia="PT Astra Serif" w:cs="PT Astra Serif"/>
          <w:sz w:val="26"/>
          <w:szCs w:val="26"/>
          <w:lang w:eastAsia="ru-RU"/>
        </w:rPr>
        <w:t xml:space="preserve">В данном</w:t>
      </w:r>
      <w:r>
        <w:rPr>
          <w:rFonts w:ascii="PT Astra Serif" w:hAnsi="PT Astra Serif" w:eastAsia="PT Astra Serif" w:cs="PT Astra Serif"/>
          <w:sz w:val="26"/>
          <w:szCs w:val="26"/>
          <w:lang w:eastAsia="ru-RU"/>
        </w:rPr>
        <w:t xml:space="preserve"> случае конечным результатом работ является разработка</w:t>
      </w:r>
      <w:r>
        <w:rPr>
          <w:rFonts w:ascii="PT Astra Serif" w:hAnsi="PT Astra Serif" w:eastAsia="PT Astra Serif" w:cs="PT Astra Serif"/>
          <w:sz w:val="26"/>
          <w:szCs w:val="26"/>
          <w:lang w:eastAsia="ru-RU"/>
        </w:rPr>
        <w:t xml:space="preserve"> проектно-сметной документации, требование</w:t>
      </w:r>
      <w:r>
        <w:rPr>
          <w:rFonts w:ascii="PT Astra Serif" w:hAnsi="PT Astra Serif" w:eastAsia="PT Astra Serif" w:cs="PT Astra Serif"/>
          <w:sz w:val="26"/>
          <w:szCs w:val="26"/>
          <w:lang w:eastAsia="ru-RU"/>
        </w:rPr>
        <w:t xml:space="preserve"> о наличии членства СРО в области инженерных изыскания излишне.</w:t>
      </w:r>
      <w:r>
        <w:rPr>
          <w:rFonts w:ascii="PT Astra Serif" w:hAnsi="PT Astra Serif" w:cs="PT Astra Serif"/>
          <w:sz w:val="26"/>
          <w:szCs w:val="26"/>
        </w:rPr>
      </w:r>
      <w:r/>
    </w:p>
    <w:p>
      <w:pPr>
        <w:contextualSpacing w:val="0"/>
        <w:ind w:firstLine="709"/>
        <w:jc w:val="both"/>
        <w:spacing w:after="0" w:afterAutospacing="0" w:line="240" w:lineRule="auto"/>
        <w:rPr>
          <w:rFonts w:ascii="PT Astra Serif" w:hAnsi="PT Astra Serif" w:cs="PT Astra Serif"/>
          <w:sz w:val="26"/>
          <w:szCs w:val="26"/>
        </w:rPr>
        <w:suppressLineNumbers w:val="0"/>
      </w:pPr>
      <w:r>
        <w:rPr>
          <w:rFonts w:ascii="PT Astra Serif" w:hAnsi="PT Astra Serif" w:eastAsia="PT Astra Serif" w:cs="PT Astra Serif"/>
          <w:sz w:val="26"/>
          <w:szCs w:val="26"/>
          <w:lang w:eastAsia="ru-RU"/>
        </w:rPr>
        <w:t xml:space="preserve">Учреждение, не согласившись с решением УФАС, обратилось с заявлением в Арбитражный суд. </w:t>
      </w:r>
      <w:r>
        <w:rPr>
          <w:rFonts w:ascii="PT Astra Serif" w:hAnsi="PT Astra Serif" w:eastAsia="PT Astra Serif" w:cs="PT Astra Serif"/>
          <w:sz w:val="26"/>
          <w:szCs w:val="26"/>
          <w:lang w:eastAsia="ru-RU"/>
        </w:rPr>
      </w:r>
      <w:r>
        <w:rPr>
          <w:rFonts w:ascii="PT Astra Serif" w:hAnsi="PT Astra Serif" w:eastAsia="PT Astra Serif" w:cs="PT Astra Serif"/>
          <w:sz w:val="26"/>
          <w:szCs w:val="26"/>
          <w:lang w:eastAsia="ru-RU"/>
        </w:rPr>
      </w:r>
    </w:p>
    <w:p>
      <w:pPr>
        <w:contextualSpacing w:val="0"/>
        <w:ind w:firstLine="709"/>
        <w:jc w:val="both"/>
        <w:spacing w:after="0" w:afterAutospacing="0" w:line="240" w:lineRule="auto"/>
        <w:rPr>
          <w:rFonts w:ascii="PT Astra Serif" w:hAnsi="PT Astra Serif" w:cs="PT Astra Serif"/>
          <w:sz w:val="26"/>
          <w:szCs w:val="26"/>
        </w:rPr>
        <w:suppressLineNumbers w:val="0"/>
      </w:pPr>
      <w:r>
        <w:rPr>
          <w:rFonts w:ascii="PT Astra Serif" w:hAnsi="PT Astra Serif" w:eastAsia="PT Astra Serif" w:cs="PT Astra Serif"/>
          <w:sz w:val="26"/>
          <w:szCs w:val="26"/>
        </w:rPr>
        <w:t xml:space="preserve">Суды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трех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инстанций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признали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 решение УФАС не соответствующим законодательству и нарушающим права и законные интересы Учреждения в сфере экономической деятельности.</w:t>
      </w: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</w:r>
    </w:p>
    <w:p>
      <w:pPr>
        <w:contextualSpacing w:val="0"/>
        <w:ind w:firstLine="709"/>
        <w:jc w:val="both"/>
        <w:spacing w:after="0" w:afterAutospacing="0" w:line="240" w:lineRule="auto"/>
        <w:rPr>
          <w:rFonts w:ascii="PT Astra Serif" w:hAnsi="PT Astra Serif" w:cs="PT Astra Serif"/>
          <w:sz w:val="26"/>
          <w:szCs w:val="26"/>
        </w:rPr>
        <w:suppressLineNumbers w:val="0"/>
      </w:pPr>
      <w:r>
        <w:rPr>
          <w:rFonts w:ascii="PT Astra Serif" w:hAnsi="PT Astra Serif" w:eastAsia="PT Astra Serif" w:cs="PT Astra Serif"/>
          <w:sz w:val="26"/>
          <w:szCs w:val="26"/>
        </w:rPr>
        <w:t xml:space="preserve">Объект закупки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 -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 проведение проектно-изыскательных работ в отношении объекта капитального строительства.</w:t>
      </w: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</w:r>
    </w:p>
    <w:p>
      <w:pPr>
        <w:contextualSpacing w:val="0"/>
        <w:ind w:firstLine="709"/>
        <w:jc w:val="both"/>
        <w:spacing w:after="0" w:afterAutospacing="0" w:line="240" w:lineRule="auto"/>
        <w:rPr>
          <w:rFonts w:ascii="PT Astra Serif" w:hAnsi="PT Astra Serif" w:cs="PT Astra Serif"/>
          <w:sz w:val="26"/>
          <w:szCs w:val="26"/>
        </w:rPr>
        <w:suppressLineNumbers w:val="0"/>
      </w:pPr>
      <w:r>
        <w:rPr>
          <w:rFonts w:ascii="PT Astra Serif" w:hAnsi="PT Astra Serif" w:eastAsia="PT Astra Serif" w:cs="PT Astra Serif"/>
          <w:sz w:val="26"/>
          <w:szCs w:val="26"/>
        </w:rPr>
        <w:t xml:space="preserve">Согласно пункту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 1 с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татьи 49 ГК РФ в случаях, предусмотренных законом, юридическое лицо может заниматься отдельными видами деятельности только на основании специального разрешения (лицензии), членства в СРО или выданного СРО свидетельства о допуске в определенному виду работ.</w:t>
      </w: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</w:r>
    </w:p>
    <w:p>
      <w:pPr>
        <w:contextualSpacing w:val="0"/>
        <w:ind w:firstLine="709"/>
        <w:jc w:val="both"/>
        <w:spacing w:after="0" w:afterAutospacing="0" w:line="240" w:lineRule="auto"/>
        <w:rPr>
          <w:rFonts w:ascii="PT Astra Serif" w:hAnsi="PT Astra Serif" w:cs="PT Astra Serif"/>
          <w:sz w:val="26"/>
          <w:szCs w:val="26"/>
        </w:rPr>
        <w:suppressLineNumbers w:val="0"/>
      </w:pPr>
      <w:r>
        <w:rPr>
          <w:rFonts w:ascii="PT Astra Serif" w:hAnsi="PT Astra Serif" w:eastAsia="PT Astra Serif" w:cs="PT Astra Serif"/>
          <w:sz w:val="26"/>
          <w:szCs w:val="26"/>
        </w:rPr>
        <w:t xml:space="preserve">В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соответствии с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 частью 1 статьи 55.8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ГрК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 РФ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ИП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 или юридическое лицо имеет право выполнять инженерные изыскания,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осуществлять подготовку проектной документации, строительство, реконструкцию, капитальный ремонт, снос объектов капитального строительства по договору подряда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 на выполнение инженерных изысканий, подготовку проектной документации, по договору строительного подряда, по договору подряда на осуществление сноса, заключенным с застройщиком, техническим заказчиком, лицом, ответственным за эксплуатацию здания, сооружен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ия, или региональным оператором. Обязательно условие -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ИП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 или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юридическое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 лицо членство в соответствующей СРО.</w:t>
      </w: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</w:r>
    </w:p>
    <w:p>
      <w:pPr>
        <w:contextualSpacing w:val="0"/>
        <w:ind w:firstLine="709"/>
        <w:jc w:val="both"/>
        <w:spacing w:after="0" w:afterAutospacing="0" w:line="240" w:lineRule="auto"/>
        <w:rPr>
          <w:rFonts w:ascii="PT Astra Serif" w:hAnsi="PT Astra Serif" w:cs="PT Astra Serif"/>
          <w:sz w:val="26"/>
          <w:szCs w:val="26"/>
        </w:rPr>
        <w:suppressLineNumbers w:val="0"/>
      </w:pPr>
      <w:r>
        <w:rPr>
          <w:rFonts w:ascii="PT Astra Serif" w:hAnsi="PT Astra Serif" w:eastAsia="PT Astra Serif" w:cs="PT Astra Serif"/>
          <w:sz w:val="26"/>
          <w:szCs w:val="26"/>
        </w:rPr>
        <w:t xml:space="preserve">Частью 2 статьи 47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ГрК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 РФ предусмотрено, что работы по договорам инженерных изысканий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,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заключенные с застройщиком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, тех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ническим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заказчиком или лицом, получившим разрешение на использование земель для изысканий, должны выполняться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ИП или юридическими лицами, которые являются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членами СРО в области инженерных изысканий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.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Выполнение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инженерных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изысканий обеспечивается главными инженерами проектов.</w:t>
      </w:r>
      <w:r>
        <w:rPr>
          <w:rFonts w:ascii="PT Astra Serif" w:hAnsi="PT Astra Serif" w:eastAsia="PT Astra Serif" w:cs="PT Astra Serif"/>
          <w:sz w:val="26"/>
          <w:szCs w:val="26"/>
        </w:rPr>
        <w:br/>
      </w:r>
      <w:r>
        <w:rPr>
          <w:rFonts w:ascii="PT Astra Serif" w:hAnsi="PT Astra Serif" w:eastAsia="PT Astra Serif" w:cs="PT Astra Serif"/>
          <w:sz w:val="26"/>
          <w:szCs w:val="26"/>
        </w:rPr>
        <w:tab/>
      </w:r>
      <w:r>
        <w:rPr>
          <w:rFonts w:ascii="PT Astra Serif" w:hAnsi="PT Astra Serif" w:eastAsia="PT Astra Serif" w:cs="PT Astra Serif"/>
          <w:sz w:val="26"/>
          <w:szCs w:val="26"/>
        </w:rPr>
        <w:t xml:space="preserve">Согласно ч. 4 ст. 48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ГрК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 РФ, работы по подготовке проектной документации (включая изменения) по договорам с застройщиком, тех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ническим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заказчиком,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лицом, ответственным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за эксплуатацию здания, сооружения, региональным оператором, должны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 выполняться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 ИП или юридическими лицами,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 которые являются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 членами СРО в области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архитектурно-ст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роительного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проектирования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.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 Обеспечение таких работ осуществляется специалистами по организации проектирования (главными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инженерами,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архитекторами проектов).</w:t>
      </w:r>
      <w:r>
        <w:rPr>
          <w:rFonts w:ascii="PT Astra Serif" w:hAnsi="PT Astra Serif" w:eastAsia="PT Astra Serif" w:cs="PT Astra Serif"/>
          <w:sz w:val="26"/>
          <w:szCs w:val="26"/>
        </w:rPr>
        <w:br/>
      </w:r>
      <w:r>
        <w:rPr>
          <w:rFonts w:ascii="PT Astra Serif" w:hAnsi="PT Astra Serif" w:eastAsia="PT Astra Serif" w:cs="PT Astra Serif"/>
          <w:sz w:val="26"/>
          <w:szCs w:val="26"/>
        </w:rPr>
        <w:tab/>
      </w:r>
      <w:r>
        <w:rPr>
          <w:rFonts w:ascii="PT Astra Serif" w:hAnsi="PT Astra Serif" w:eastAsia="PT Astra Serif" w:cs="PT Astra Serif"/>
          <w:sz w:val="26"/>
          <w:szCs w:val="26"/>
        </w:rPr>
        <w:t xml:space="preserve">Учреждением установлен общий предмет ОКПД-2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 71.12.19.110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– проведение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проектно-изыскатель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ски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х работ,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р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езультатом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которых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являются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проектно-изыскательские работы, предусматривающие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в том числе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инженерно-геодезические и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 инженерно-геологические изыскания.</w:t>
      </w:r>
      <w:bookmarkStart w:id="0" w:name="undefined"/>
      <w:r>
        <w:rPr>
          <w:rFonts w:ascii="PT Astra Serif" w:hAnsi="PT Astra Serif" w:eastAsia="PT Astra Serif" w:cs="PT Astra Serif"/>
          <w:sz w:val="26"/>
          <w:szCs w:val="26"/>
        </w:rPr>
      </w:r>
      <w:bookmarkEnd w:id="0"/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</w:r>
    </w:p>
    <w:p>
      <w:pPr>
        <w:contextualSpacing w:val="0"/>
        <w:ind w:firstLine="709"/>
        <w:jc w:val="both"/>
        <w:spacing w:after="0" w:afterAutospacing="0" w:line="240" w:lineRule="auto"/>
        <w:rPr>
          <w:rFonts w:ascii="PT Astra Serif" w:hAnsi="PT Astra Serif" w:cs="PT Astra Serif"/>
          <w:sz w:val="26"/>
          <w:szCs w:val="26"/>
        </w:rPr>
        <w:suppressLineNumbers w:val="0"/>
      </w:pPr>
      <w:r>
        <w:rPr>
          <w:rFonts w:ascii="PT Astra Serif" w:hAnsi="PT Astra Serif" w:eastAsia="PT Astra Serif" w:cs="PT Astra Serif"/>
          <w:sz w:val="26"/>
          <w:szCs w:val="26"/>
        </w:rPr>
        <w:t xml:space="preserve">Меж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ду выполнением инженерных изысканий и разработкой проектно-сметной документации в рамках предмета закупки существует технологическая и функциональная взаимосвязь. Разработка проектно-сметной документации невозможна без предварительных инженерных изысканий.</w:t>
      </w: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</w:r>
    </w:p>
    <w:p>
      <w:pPr>
        <w:contextualSpacing w:val="0"/>
        <w:ind w:firstLine="709"/>
        <w:jc w:val="both"/>
        <w:spacing w:after="0" w:afterAutospacing="0" w:line="240" w:lineRule="auto"/>
        <w:rPr>
          <w:rFonts w:ascii="PT Astra Serif" w:hAnsi="PT Astra Serif" w:eastAsia="PT Astra Serif" w:cs="PT Astra Serif"/>
          <w:sz w:val="26"/>
          <w:szCs w:val="26"/>
        </w:rPr>
        <w:suppressLineNumbers w:val="0"/>
      </w:pPr>
      <w:r>
        <w:rPr>
          <w:rFonts w:ascii="PT Astra Serif" w:hAnsi="PT Astra Serif" w:eastAsia="PT Astra Serif" w:cs="PT Astra Serif"/>
          <w:sz w:val="26"/>
          <w:szCs w:val="26"/>
        </w:rPr>
        <w:t xml:space="preserve">В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 одну закупку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объединены различные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 по функциональным характеристикам, но взаимосвязанные работы. Таким образом, предметом закупки являются два вида работ: разработка проектной и рабочей документации, а также выполнение инженерных изысканий.</w:t>
      </w:r>
      <w:r>
        <w:rPr>
          <w:rFonts w:ascii="PT Astra Serif" w:hAnsi="PT Astra Serif" w:cs="PT Astra Serif"/>
          <w:sz w:val="26"/>
          <w:szCs w:val="26"/>
        </w:rPr>
      </w:r>
    </w:p>
    <w:p>
      <w:pPr>
        <w:contextualSpacing w:val="0"/>
        <w:ind w:firstLine="709"/>
        <w:jc w:val="both"/>
        <w:spacing w:after="0" w:afterAutospacing="0" w:line="240" w:lineRule="auto"/>
        <w:rPr>
          <w:rFonts w:ascii="PT Astra Serif" w:hAnsi="PT Astra Serif" w:cs="PT Astra Serif"/>
          <w:sz w:val="26"/>
          <w:szCs w:val="26"/>
        </w:rPr>
        <w:suppressLineNumbers w:val="0"/>
      </w:pP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  <w:t xml:space="preserve">Требование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о наличии свидетельст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в СРО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 по каждому виду работ, выполняемых в рамках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контракта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,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 является обоснованным и необходимым, поскольку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каждая из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СРО несет ответственность за действия своего члена в соответствующей части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.</w:t>
      </w:r>
      <w:r>
        <w:rPr>
          <w:rFonts w:ascii="PT Astra Serif" w:hAnsi="PT Astra Serif" w:cs="PT Astra Serif"/>
          <w:sz w:val="26"/>
          <w:szCs w:val="26"/>
        </w:rPr>
      </w:r>
      <w:r/>
    </w:p>
    <w:p>
      <w:pPr>
        <w:contextualSpacing w:val="0"/>
        <w:ind w:firstLine="709"/>
        <w:jc w:val="both"/>
        <w:spacing w:after="0" w:afterAutospacing="0" w:line="240" w:lineRule="auto"/>
        <w:rPr>
          <w:rFonts w:ascii="PT Astra Serif" w:hAnsi="PT Astra Serif" w:cs="PT Astra Serif"/>
          <w:sz w:val="26"/>
          <w:szCs w:val="26"/>
        </w:rPr>
        <w:suppressLineNumbers w:val="0"/>
      </w:pPr>
      <w:r>
        <w:rPr>
          <w:rFonts w:ascii="PT Astra Serif" w:hAnsi="PT Astra Serif" w:eastAsia="PT Astra Serif" w:cs="PT Astra Serif"/>
          <w:sz w:val="26"/>
          <w:szCs w:val="26"/>
        </w:rPr>
        <w:t xml:space="preserve">В Постановлении Президиума В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АС РФ от 28.12.2010 № 11017/10 по делу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 № А06-6611/2009) изложена правовая позиция: законодательство о торгах направлено не столько на расширение круга участников, сколько на выявление победителя, чье исполнение контракта обеспечит наиболее эффективное использование средств.</w:t>
      </w: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</w:r>
    </w:p>
    <w:p>
      <w:pPr>
        <w:contextualSpacing w:val="0"/>
        <w:ind w:firstLine="709"/>
        <w:jc w:val="both"/>
        <w:spacing w:after="0" w:afterAutospacing="0" w:line="240" w:lineRule="auto"/>
        <w:suppressLineNumbers w:val="0"/>
      </w:pPr>
      <w:r>
        <w:rPr>
          <w:rFonts w:ascii="PT Astra Serif" w:hAnsi="PT Astra Serif" w:eastAsia="PT Astra Serif" w:cs="PT Astra Serif"/>
          <w:sz w:val="26"/>
          <w:szCs w:val="26"/>
        </w:rPr>
        <w:t xml:space="preserve">Соответственно включение в извещение о закупке условий, которые приводят к исключению участников, не соответствующих целям закупки, не является ограничением доступа к торгам. Следовательно, действия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Учреждения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 при осуществлении данной закупки не нарушают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Закон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 № 44-ФЗ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.</w:t>
      </w:r>
      <w:r>
        <w:rPr>
          <w:rFonts w:ascii="PT Astra Serif" w:hAnsi="PT Astra Serif" w:eastAsia="PT Astra Serif" w:cs="PT Astra Serif"/>
          <w:sz w:val="26"/>
          <w:szCs w:val="26"/>
        </w:rPr>
      </w:r>
      <w:r/>
    </w:p>
    <w:p>
      <w:pPr>
        <w:ind w:left="567" w:right="0" w:firstLine="0"/>
        <w:jc w:val="both"/>
        <w:shd w:val="nil" w:color="000000"/>
        <w:rPr>
          <w:rFonts w:ascii="PT Astra Serif" w:hAnsi="PT Astra Serif" w:eastAsia="PT Astra Serif" w:cs="PT Astra Serif"/>
          <w:sz w:val="26"/>
          <w:szCs w:val="26"/>
          <w:highlight w:val="none"/>
          <w14:ligatures w14:val="none"/>
        </w:rPr>
      </w:pPr>
      <w:r>
        <w:rPr>
          <w:rFonts w:ascii="PT Astra Serif" w:hAnsi="PT Astra Serif" w:cs="PT Astra Serif"/>
          <w:sz w:val="26"/>
          <w:szCs w:val="26"/>
          <w:highlight w:val="none"/>
          <w14:ligatures w14:val="none"/>
        </w:rPr>
      </w:r>
      <w:r>
        <w:rPr>
          <w:rFonts w:ascii="PT Astra Serif" w:hAnsi="PT Astra Serif" w:cs="PT Astra Serif"/>
          <w:sz w:val="26"/>
          <w:szCs w:val="26"/>
          <w:highlight w:val="none"/>
          <w14:ligatures w14:val="none"/>
        </w:rPr>
      </w:r>
      <w:r>
        <w:rPr>
          <w:rFonts w:ascii="PT Astra Serif" w:hAnsi="PT Astra Serif" w:eastAsia="PT Astra Serif" w:cs="PT Astra Serif"/>
          <w:sz w:val="26"/>
          <w:szCs w:val="26"/>
          <w:highlight w:val="none"/>
          <w14:ligatures w14:val="none"/>
        </w:rPr>
      </w:r>
    </w:p>
    <w:p>
      <w:pPr>
        <w:ind w:left="567" w:right="0" w:firstLine="0"/>
        <w:jc w:val="both"/>
        <w:shd w:val="nil" w:color="000000"/>
        <w:rPr>
          <w:rFonts w:ascii="PT Astra Serif" w:hAnsi="PT Astra Serif" w:cs="PT Astra Serif"/>
          <w:sz w:val="26"/>
          <w:szCs w:val="26"/>
          <w:highlight w:val="white"/>
          <w14:ligatures w14:val="none"/>
        </w:rPr>
      </w:pPr>
      <w:r>
        <w:rPr>
          <w:rFonts w:ascii="PT Astra Serif" w:hAnsi="PT Astra Serif" w:eastAsia="PT Astra Serif" w:cs="PT Astra Serif"/>
          <w:sz w:val="26"/>
          <w:szCs w:val="26"/>
          <w:highlight w:val="none"/>
        </w:rPr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</w:r>
      <w:r>
        <w:rPr>
          <w:rFonts w:ascii="PT Astra Serif" w:hAnsi="PT Astra Serif" w:cs="PT Astra Serif"/>
          <w:sz w:val="26"/>
          <w:szCs w:val="26"/>
          <w:highlight w:val="white"/>
          <w14:ligatures w14:val="none"/>
        </w:rPr>
      </w:r>
    </w:p>
    <w:p>
      <w:pPr>
        <w:ind w:firstLine="709"/>
        <w:jc w:val="both"/>
        <w:spacing w:after="0" w:line="240" w:lineRule="auto"/>
        <w:rPr>
          <w:rFonts w:ascii="PT Astra Serif" w:hAnsi="PT Astra Serif" w:cs="PT Astra Serif"/>
          <w:bCs/>
          <w:i/>
          <w:sz w:val="26"/>
          <w:szCs w:val="26"/>
        </w:rPr>
      </w:pPr>
      <w:r>
        <w:rPr>
          <w:rFonts w:ascii="PT Astra Serif" w:hAnsi="PT Astra Serif" w:eastAsia="PT Astra Serif" w:cs="PT Astra Serif"/>
          <w:i/>
          <w:sz w:val="26"/>
          <w:szCs w:val="26"/>
          <w:highlight w:val="none"/>
        </w:rPr>
      </w:r>
      <w:r>
        <w:rPr>
          <w:rFonts w:ascii="PT Astra Serif" w:hAnsi="PT Astra Serif" w:eastAsia="PT Astra Serif" w:cs="PT Astra Serif"/>
          <w:i/>
          <w:sz w:val="26"/>
          <w:szCs w:val="26"/>
          <w:highlight w:val="none"/>
        </w:rPr>
      </w:r>
      <w:r>
        <w:rPr>
          <w:rFonts w:ascii="PT Astra Serif" w:hAnsi="PT Astra Serif" w:cs="PT Astra Serif"/>
          <w:bCs/>
          <w:i/>
          <w:sz w:val="26"/>
          <w:szCs w:val="26"/>
        </w:rPr>
      </w:r>
    </w:p>
    <w:sectPr>
      <w:headerReference w:type="default" r:id="rId9"/>
      <w:headerReference w:type="first" r:id="rId10"/>
      <w:footerReference w:type="first" r:id="rId11"/>
      <w:footnotePr/>
      <w:endnotePr/>
      <w:type w:val="nextPage"/>
      <w:pgSz w:w="11906" w:h="16838" w:orient="portrait"/>
      <w:pgMar w:top="1134" w:right="567" w:bottom="1134" w:left="1134" w:header="709" w:footer="709" w:gutter="0"/>
      <w:pgNumType w:start="1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PT Astra Serif">
    <w:panose1 w:val="020A0603040505020204"/>
  </w:font>
  <w:font w:name="Symbol">
    <w:panose1 w:val="05050102010706020507"/>
  </w:font>
  <w:font w:name="Courier New">
    <w:panose1 w:val="02070309020205020404"/>
  </w:font>
  <w:font w:name="Wingdings">
    <w:panose1 w:val="05000000000000000000"/>
  </w:font>
  <w:font w:name="Liberation Sans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25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23"/>
      <w:jc w:val="center"/>
      <w:rPr>
        <w:rFonts w:ascii="PT Astra Serif" w:hAnsi="PT Astra Serif" w:cs="PT Astra Serif"/>
      </w:rPr>
    </w:pPr>
    <w:fldSimple w:instr="PAGE \* MERGEFORMAT">
      <w:r>
        <w:rPr>
          <w:rFonts w:ascii="PT Astra Serif" w:hAnsi="PT Astra Serif" w:eastAsia="PT Astra Serif" w:cs="PT Astra Serif"/>
        </w:rPr>
        <w:t xml:space="preserve">1</w:t>
      </w:r>
    </w:fldSimple>
    <w:r>
      <w:rPr>
        <w:rFonts w:ascii="PT Astra Serif" w:hAnsi="PT Astra Serif" w:eastAsia="PT Astra Serif" w:cs="PT Astra Serif"/>
      </w:rPr>
    </w:r>
    <w:r>
      <w:rPr>
        <w:rFonts w:ascii="PT Astra Serif" w:hAnsi="PT Astra Serif" w:eastAsia="PT Astra Serif" w:cs="PT Astra Serif"/>
      </w:rPr>
    </w:r>
    <w:r>
      <w:rPr>
        <w:rFonts w:ascii="PT Astra Serif" w:hAnsi="PT Astra Serif" w:cs="PT Astra Serif"/>
      </w:rPr>
    </w:r>
  </w:p>
  <w:p>
    <w:pPr>
      <w:pStyle w:val="723"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23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"/>
      <w:lvlJc w:val="left"/>
      <w:pPr>
        <w:ind w:left="357" w:hanging="357"/>
      </w:pPr>
      <w:rPr>
        <w:rFonts w:hint="default" w:ascii="Wingdings" w:hAnsi="Wingdings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"/>
      <w:lvlJc w:val="left"/>
      <w:pPr>
        <w:ind w:left="1322" w:hanging="360"/>
      </w:pPr>
      <w:rPr>
        <w:rFonts w:hint="default" w:ascii="Wingdings" w:hAnsi="Wingdings"/>
      </w:rPr>
    </w:lvl>
    <w:lvl w:ilvl="1">
      <w:start w:val="1"/>
      <w:numFmt w:val="bullet"/>
      <w:isLgl w:val="false"/>
      <w:suff w:val="tab"/>
      <w:lvlText w:val="o"/>
      <w:lvlJc w:val="left"/>
      <w:pPr>
        <w:ind w:left="2042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62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82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202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922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642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62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82" w:hanging="360"/>
      </w:pPr>
      <w:rPr>
        <w:rFonts w:hint="default" w:ascii="Wingdings" w:hAnsi="Wingdings"/>
      </w:rPr>
    </w:lvl>
  </w:abstractNum>
  <w:abstractNum w:abstractNumId="2">
    <w:multiLevelType w:val="hybridMultilevel"/>
    <w:lvl w:ilvl="0">
      <w:start w:val="1"/>
      <w:numFmt w:val="bullet"/>
      <w:isLgl w:val="false"/>
      <w:suff w:val="tab"/>
      <w:lvlText w:val="Ø"/>
      <w:lvlJc w:val="left"/>
      <w:pPr>
        <w:ind w:left="1276" w:hanging="360"/>
      </w:pPr>
      <w:rPr>
        <w:rFonts w:ascii="Wingdings" w:hAnsi="Wingdings" w:eastAsia="Wingdings" w:cs="Wingdings"/>
      </w:rPr>
    </w:lvl>
    <w:lvl w:ilvl="1">
      <w:start w:val="1"/>
      <w:numFmt w:val="bullet"/>
      <w:isLgl w:val="false"/>
      <w:suff w:val="tab"/>
      <w:lvlText w:val="o"/>
      <w:lvlJc w:val="left"/>
      <w:pPr>
        <w:ind w:left="1996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716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436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56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876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596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16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036" w:hanging="360"/>
      </w:pPr>
      <w:rPr>
        <w:rFonts w:hint="default" w:ascii="Wingdings" w:hAnsi="Wingdings" w:eastAsia="Wingdings" w:cs="Wingdings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97">
    <w:name w:val="Heading 1"/>
    <w:basedOn w:val="873"/>
    <w:next w:val="873"/>
    <w:link w:val="698"/>
    <w:uiPriority w:val="9"/>
    <w:qFormat/>
    <w:pPr>
      <w:keepLines/>
      <w:keepNext/>
      <w:spacing w:before="480" w:after="200"/>
      <w:outlineLvl w:val="0"/>
    </w:pPr>
    <w:rPr>
      <w:rFonts w:ascii="Liberation Sans" w:hAnsi="Liberation Sans" w:eastAsia="Liberation Sans" w:cs="Liberation Sans"/>
      <w:sz w:val="40"/>
      <w:szCs w:val="40"/>
    </w:rPr>
  </w:style>
  <w:style w:type="character" w:styleId="698">
    <w:name w:val="Heading 1 Char"/>
    <w:link w:val="697"/>
    <w:uiPriority w:val="9"/>
    <w:rPr>
      <w:rFonts w:ascii="Liberation Sans" w:hAnsi="Liberation Sans" w:eastAsia="Liberation Sans" w:cs="Liberation Sans"/>
      <w:sz w:val="40"/>
      <w:szCs w:val="40"/>
    </w:rPr>
  </w:style>
  <w:style w:type="paragraph" w:styleId="699">
    <w:name w:val="Heading 2"/>
    <w:basedOn w:val="873"/>
    <w:next w:val="873"/>
    <w:link w:val="700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character" w:styleId="700">
    <w:name w:val="Heading 2 Char"/>
    <w:link w:val="699"/>
    <w:uiPriority w:val="9"/>
    <w:rPr>
      <w:rFonts w:ascii="Liberation Sans" w:hAnsi="Liberation Sans" w:eastAsia="Liberation Sans" w:cs="Liberation Sans"/>
      <w:sz w:val="34"/>
    </w:rPr>
  </w:style>
  <w:style w:type="paragraph" w:styleId="701">
    <w:name w:val="Heading 3"/>
    <w:basedOn w:val="873"/>
    <w:next w:val="873"/>
    <w:link w:val="702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character" w:styleId="702">
    <w:name w:val="Heading 3 Char"/>
    <w:link w:val="701"/>
    <w:uiPriority w:val="9"/>
    <w:rPr>
      <w:rFonts w:ascii="Liberation Sans" w:hAnsi="Liberation Sans" w:eastAsia="Liberation Sans" w:cs="Liberation Sans"/>
      <w:sz w:val="30"/>
      <w:szCs w:val="30"/>
    </w:rPr>
  </w:style>
  <w:style w:type="paragraph" w:styleId="703">
    <w:name w:val="Heading 4"/>
    <w:basedOn w:val="873"/>
    <w:next w:val="873"/>
    <w:link w:val="704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704">
    <w:name w:val="Heading 4 Char"/>
    <w:link w:val="703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705">
    <w:name w:val="Heading 5"/>
    <w:basedOn w:val="873"/>
    <w:next w:val="873"/>
    <w:link w:val="706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706">
    <w:name w:val="Heading 5 Char"/>
    <w:link w:val="705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707">
    <w:name w:val="Heading 6"/>
    <w:basedOn w:val="873"/>
    <w:next w:val="873"/>
    <w:link w:val="708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708">
    <w:name w:val="Heading 6 Char"/>
    <w:link w:val="707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709">
    <w:name w:val="Heading 7"/>
    <w:basedOn w:val="873"/>
    <w:next w:val="873"/>
    <w:link w:val="710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710">
    <w:name w:val="Heading 7 Char"/>
    <w:link w:val="709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711">
    <w:name w:val="Heading 8"/>
    <w:basedOn w:val="873"/>
    <w:next w:val="873"/>
    <w:link w:val="712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712">
    <w:name w:val="Heading 8 Char"/>
    <w:link w:val="711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713">
    <w:name w:val="Heading 9"/>
    <w:basedOn w:val="873"/>
    <w:next w:val="873"/>
    <w:link w:val="714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714">
    <w:name w:val="Heading 9 Char"/>
    <w:link w:val="713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715">
    <w:name w:val="Title"/>
    <w:basedOn w:val="873"/>
    <w:next w:val="873"/>
    <w:link w:val="71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16">
    <w:name w:val="Title Char"/>
    <w:link w:val="715"/>
    <w:uiPriority w:val="10"/>
    <w:rPr>
      <w:sz w:val="48"/>
      <w:szCs w:val="48"/>
    </w:rPr>
  </w:style>
  <w:style w:type="paragraph" w:styleId="717">
    <w:name w:val="Subtitle"/>
    <w:basedOn w:val="873"/>
    <w:next w:val="873"/>
    <w:link w:val="718"/>
    <w:uiPriority w:val="11"/>
    <w:qFormat/>
    <w:pPr>
      <w:spacing w:before="200" w:after="200"/>
    </w:pPr>
    <w:rPr>
      <w:sz w:val="24"/>
      <w:szCs w:val="24"/>
    </w:rPr>
  </w:style>
  <w:style w:type="character" w:styleId="718">
    <w:name w:val="Subtitle Char"/>
    <w:link w:val="717"/>
    <w:uiPriority w:val="11"/>
    <w:rPr>
      <w:sz w:val="24"/>
      <w:szCs w:val="24"/>
    </w:rPr>
  </w:style>
  <w:style w:type="paragraph" w:styleId="719">
    <w:name w:val="Quote"/>
    <w:basedOn w:val="873"/>
    <w:next w:val="873"/>
    <w:link w:val="720"/>
    <w:uiPriority w:val="29"/>
    <w:qFormat/>
    <w:pPr>
      <w:ind w:left="720" w:right="720"/>
    </w:pPr>
    <w:rPr>
      <w:i/>
    </w:rPr>
  </w:style>
  <w:style w:type="character" w:styleId="720">
    <w:name w:val="Quote Char"/>
    <w:link w:val="719"/>
    <w:uiPriority w:val="29"/>
    <w:rPr>
      <w:i/>
    </w:rPr>
  </w:style>
  <w:style w:type="paragraph" w:styleId="721">
    <w:name w:val="Intense Quote"/>
    <w:basedOn w:val="873"/>
    <w:next w:val="873"/>
    <w:link w:val="722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22">
    <w:name w:val="Intense Quote Char"/>
    <w:link w:val="721"/>
    <w:uiPriority w:val="30"/>
    <w:rPr>
      <w:i/>
    </w:rPr>
  </w:style>
  <w:style w:type="paragraph" w:styleId="723">
    <w:name w:val="Header"/>
    <w:basedOn w:val="873"/>
    <w:link w:val="72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24">
    <w:name w:val="Header Char"/>
    <w:link w:val="723"/>
    <w:uiPriority w:val="99"/>
  </w:style>
  <w:style w:type="paragraph" w:styleId="725">
    <w:name w:val="Footer"/>
    <w:basedOn w:val="873"/>
    <w:link w:val="72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26">
    <w:name w:val="Footer Char"/>
    <w:link w:val="725"/>
    <w:uiPriority w:val="99"/>
  </w:style>
  <w:style w:type="paragraph" w:styleId="727">
    <w:name w:val="Caption"/>
    <w:basedOn w:val="873"/>
    <w:next w:val="873"/>
    <w:link w:val="728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28">
    <w:name w:val="Caption Char"/>
    <w:link w:val="727"/>
    <w:uiPriority w:val="35"/>
    <w:rPr>
      <w:b/>
      <w:bCs/>
      <w:color w:val="4f81bd" w:themeColor="accent1"/>
      <w:sz w:val="18"/>
      <w:szCs w:val="18"/>
    </w:rPr>
  </w:style>
  <w:style w:type="table" w:styleId="729">
    <w:name w:val="Table Grid"/>
    <w:basedOn w:val="874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30">
    <w:name w:val="Table Grid Light"/>
    <w:basedOn w:val="87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31">
    <w:name w:val="Plain Table 1"/>
    <w:basedOn w:val="87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32">
    <w:name w:val="Plain Table 2"/>
    <w:basedOn w:val="874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33">
    <w:name w:val="Plain Table 3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34">
    <w:name w:val="Plain Table 4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5">
    <w:name w:val="Plain Table 5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36">
    <w:name w:val="Grid Table 1 Light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7">
    <w:name w:val="Grid Table 1 Light - Accent 1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8">
    <w:name w:val="Grid Table 1 Light - Accent 2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9">
    <w:name w:val="Grid Table 1 Light - Accent 3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0">
    <w:name w:val="Grid Table 1 Light - Accent 4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1">
    <w:name w:val="Grid Table 1 Light - Accent 5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2">
    <w:name w:val="Grid Table 1 Light - Accent 6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3">
    <w:name w:val="Grid Table 2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2 - Accent 1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2 - Accent 2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2 - Accent 3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2 - Accent 4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2 - Accent 5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2 - Accent 6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3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3 - Accent 1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Grid Table 3 - Accent 2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Grid Table 3 - Accent 3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Grid Table 3 - Accent 4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Grid Table 3 - Accent 5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Grid Table 3 - Accent 6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Grid Table 4"/>
    <w:basedOn w:val="87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58">
    <w:name w:val="Grid Table 4 - Accent 1"/>
    <w:basedOn w:val="87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59">
    <w:name w:val="Grid Table 4 - Accent 2"/>
    <w:basedOn w:val="87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60">
    <w:name w:val="Grid Table 4 - Accent 3"/>
    <w:basedOn w:val="87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61">
    <w:name w:val="Grid Table 4 - Accent 4"/>
    <w:basedOn w:val="87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62">
    <w:name w:val="Grid Table 4 - Accent 5"/>
    <w:basedOn w:val="87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63">
    <w:name w:val="Grid Table 4 - Accent 6"/>
    <w:basedOn w:val="87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64">
    <w:name w:val="Grid Table 5 Dark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65">
    <w:name w:val="Grid Table 5 Dark- Accent 1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766">
    <w:name w:val="Grid Table 5 Dark - Accent 2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767">
    <w:name w:val="Grid Table 5 Dark - Accent 3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768">
    <w:name w:val="Grid Table 5 Dark- Accent 4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769">
    <w:name w:val="Grid Table 5 Dark - Accent 5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770">
    <w:name w:val="Grid Table 5 Dark - Accent 6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771">
    <w:name w:val="Grid Table 6 Colorful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772">
    <w:name w:val="Grid Table 6 Colorful - Accent 1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773">
    <w:name w:val="Grid Table 6 Colorful - Accent 2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774">
    <w:name w:val="Grid Table 6 Colorful - Accent 3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775">
    <w:name w:val="Grid Table 6 Colorful - Accent 4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776">
    <w:name w:val="Grid Table 6 Colorful - Accent 5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77">
    <w:name w:val="Grid Table 6 Colorful - Accent 6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78">
    <w:name w:val="Grid Table 7 Colorful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>
    <w:name w:val="Grid Table 7 Colorful - Accent 1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317bba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17bba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17bba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Grid Table 7 Colorful - Accent 2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>
    <w:name w:val="Grid Table 7 Colorful - Accent 3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606060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606060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06060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Grid Table 7 Colorful - Accent 4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>
    <w:name w:val="Grid Table 7 Colorful - Accent 5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254374" w:themeColor="accent5" w:themeShade="95"/>
        <w:sz w:val="22"/>
      </w:rPr>
    </w:tblStylePr>
    <w:tblStylePr w:type="firstCol">
      <w:rPr>
        <w:rFonts w:ascii="Liberation Sans" w:hAnsi="Liberation Sans"/>
        <w:i/>
        <w:color w:val="254374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54374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>
    <w:name w:val="Grid Table 7 Colorful - Accent 6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26429" w:themeColor="accent6" w:themeShade="95"/>
        <w:sz w:val="22"/>
      </w:rPr>
    </w:tblStylePr>
    <w:tblStylePr w:type="firstCol">
      <w:rPr>
        <w:rFonts w:ascii="Liberation Sans" w:hAnsi="Liberation Sans"/>
        <w:i/>
        <w:color w:val="426429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26429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>
    <w:name w:val="List Table 1 Light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>
    <w:name w:val="List Table 1 Light - Accent 1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>
    <w:name w:val="List Table 1 Light - Accent 2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>
    <w:name w:val="List Table 1 Light - Accent 3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>
    <w:name w:val="List Table 1 Light - Accent 4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>
    <w:name w:val="List Table 1 Light - Accent 5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>
    <w:name w:val="List Table 1 Light - Accent 6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>
    <w:name w:val="List Table 2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93">
    <w:name w:val="List Table 2 - Accent 1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94">
    <w:name w:val="List Table 2 - Accent 2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95">
    <w:name w:val="List Table 2 - Accent 3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96">
    <w:name w:val="List Table 2 - Accent 4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97">
    <w:name w:val="List Table 2 - Accent 5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98">
    <w:name w:val="List Table 2 - Accent 6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99">
    <w:name w:val="List Table 3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>
    <w:name w:val="List Table 3 - Accent 1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3 - Accent 2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>
    <w:name w:val="List Table 3 - Accent 3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>
    <w:name w:val="List Table 3 - Accent 4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>
    <w:name w:val="List Table 3 - Accent 5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>
    <w:name w:val="List Table 3 - Accent 6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>
    <w:name w:val="List Table 4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7">
    <w:name w:val="List Table 4 - Accent 1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8">
    <w:name w:val="List Table 4 - Accent 2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9">
    <w:name w:val="List Table 4 - Accent 3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0">
    <w:name w:val="List Table 4 - Accent 4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1">
    <w:name w:val="List Table 4 - Accent 5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2">
    <w:name w:val="List Table 4 - Accent 6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3">
    <w:name w:val="List Table 5 Dark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14">
    <w:name w:val="List Table 5 Dark - Accent 1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15">
    <w:name w:val="List Table 5 Dark - Accent 2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16">
    <w:name w:val="List Table 5 Dark - Accent 3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17">
    <w:name w:val="List Table 5 Dark - Accent 4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18">
    <w:name w:val="List Table 5 Dark - Accent 5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19">
    <w:name w:val="List Table 5 Dark - Accent 6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20">
    <w:name w:val="List Table 6 Colorful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21">
    <w:name w:val="List Table 6 Colorful - Accent 1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22">
    <w:name w:val="List Table 6 Colorful - Accent 2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23">
    <w:name w:val="List Table 6 Colorful - Accent 3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24">
    <w:name w:val="List Table 6 Colorful - Accent 4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25">
    <w:name w:val="List Table 6 Colorful - Accent 5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26">
    <w:name w:val="List Table 6 Colorful - Accent 6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27">
    <w:name w:val="List Table 7 Colorful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828">
    <w:name w:val="List Table 7 Colorful - Accent 1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245d8d" w:themeColor="accent1" w:themeShade="95"/>
        <w:sz w:val="22"/>
      </w:rPr>
    </w:tblStylePr>
    <w:tblStylePr w:type="firstCol">
      <w:rPr>
        <w:rFonts w:ascii="Liberation Sans" w:hAnsi="Liberation Sans"/>
        <w:i/>
        <w:color w:val="245d8d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245d8d" w:themeColor="accent1" w:themeShade="95"/>
        <w:sz w:val="22"/>
      </w:rPr>
    </w:tblStylePr>
  </w:style>
  <w:style w:type="table" w:styleId="829">
    <w:name w:val="List Table 7 Colorful - Accent 2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c95712" w:themeColor="accent2" w:themeTint="97" w:themeShade="95"/>
        <w:sz w:val="22"/>
      </w:rPr>
    </w:tblStylePr>
  </w:style>
  <w:style w:type="table" w:styleId="830">
    <w:name w:val="List Table 7 Colorful - Accent 3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757575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57575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757575" w:themeColor="accent3" w:themeTint="98" w:themeShade="95"/>
        <w:sz w:val="22"/>
      </w:rPr>
    </w:tblStylePr>
  </w:style>
  <w:style w:type="table" w:styleId="831">
    <w:name w:val="List Table 7 Colorful - Accent 4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cd9600" w:themeColor="accent4" w:themeTint="9A" w:themeShade="95"/>
        <w:sz w:val="22"/>
      </w:rPr>
    </w:tblStylePr>
  </w:style>
  <w:style w:type="table" w:styleId="832">
    <w:name w:val="List Table 7 Colorful - Accent 5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335e9e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5e9e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335e9e" w:themeColor="accent5" w:themeTint="9A" w:themeShade="95"/>
        <w:sz w:val="22"/>
      </w:rPr>
    </w:tblStylePr>
  </w:style>
  <w:style w:type="table" w:styleId="833">
    <w:name w:val="List Table 7 Colorful - Accent 6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5f8f3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5f8f3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5f8f3c" w:themeColor="accent6" w:themeTint="98" w:themeShade="95"/>
        <w:sz w:val="22"/>
      </w:rPr>
    </w:tblStylePr>
  </w:style>
  <w:style w:type="table" w:styleId="834">
    <w:name w:val="Lined - Accent"/>
    <w:basedOn w:val="87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35">
    <w:name w:val="Lined - Accent 1"/>
    <w:basedOn w:val="87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836">
    <w:name w:val="Lined - Accent 2"/>
    <w:basedOn w:val="87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37">
    <w:name w:val="Lined - Accent 3"/>
    <w:basedOn w:val="87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38">
    <w:name w:val="Lined - Accent 4"/>
    <w:basedOn w:val="87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39">
    <w:name w:val="Lined - Accent 5"/>
    <w:basedOn w:val="87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40">
    <w:name w:val="Lined - Accent 6"/>
    <w:basedOn w:val="87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41">
    <w:name w:val="Bordered &amp; Lined - Accent"/>
    <w:basedOn w:val="87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42">
    <w:name w:val="Bordered &amp; Lined - Accent 1"/>
    <w:basedOn w:val="87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843">
    <w:name w:val="Bordered &amp; Lined - Accent 2"/>
    <w:basedOn w:val="87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44">
    <w:name w:val="Bordered &amp; Lined - Accent 3"/>
    <w:basedOn w:val="87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45">
    <w:name w:val="Bordered &amp; Lined - Accent 4"/>
    <w:basedOn w:val="87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46">
    <w:name w:val="Bordered &amp; Lined - Accent 5"/>
    <w:basedOn w:val="87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47">
    <w:name w:val="Bordered &amp; Lined - Accent 6"/>
    <w:basedOn w:val="87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48">
    <w:name w:val="Bordered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49">
    <w:name w:val="Bordered - Accent 1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50">
    <w:name w:val="Bordered - Accent 2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51">
    <w:name w:val="Bordered - Accent 3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52">
    <w:name w:val="Bordered - Accent 4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53">
    <w:name w:val="Bordered - Accent 5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54">
    <w:name w:val="Bordered - Accent 6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55">
    <w:name w:val="Hyperlink"/>
    <w:uiPriority w:val="99"/>
    <w:unhideWhenUsed/>
    <w:rPr>
      <w:color w:val="0000ff" w:themeColor="hyperlink"/>
      <w:u w:val="single"/>
    </w:rPr>
  </w:style>
  <w:style w:type="paragraph" w:styleId="856">
    <w:name w:val="footnote text"/>
    <w:basedOn w:val="873"/>
    <w:link w:val="857"/>
    <w:uiPriority w:val="99"/>
    <w:semiHidden/>
    <w:unhideWhenUsed/>
    <w:pPr>
      <w:spacing w:after="40" w:line="240" w:lineRule="auto"/>
    </w:pPr>
    <w:rPr>
      <w:sz w:val="18"/>
    </w:rPr>
  </w:style>
  <w:style w:type="character" w:styleId="857">
    <w:name w:val="Footnote Text Char"/>
    <w:link w:val="856"/>
    <w:uiPriority w:val="99"/>
    <w:rPr>
      <w:sz w:val="18"/>
    </w:rPr>
  </w:style>
  <w:style w:type="character" w:styleId="858">
    <w:name w:val="footnote reference"/>
    <w:uiPriority w:val="99"/>
    <w:unhideWhenUsed/>
    <w:rPr>
      <w:vertAlign w:val="superscript"/>
    </w:rPr>
  </w:style>
  <w:style w:type="paragraph" w:styleId="859">
    <w:name w:val="endnote text"/>
    <w:basedOn w:val="873"/>
    <w:link w:val="860"/>
    <w:uiPriority w:val="99"/>
    <w:semiHidden/>
    <w:unhideWhenUsed/>
    <w:pPr>
      <w:spacing w:after="0" w:line="240" w:lineRule="auto"/>
    </w:pPr>
    <w:rPr>
      <w:sz w:val="20"/>
    </w:rPr>
  </w:style>
  <w:style w:type="character" w:styleId="860">
    <w:name w:val="Endnote Text Char"/>
    <w:link w:val="859"/>
    <w:uiPriority w:val="99"/>
    <w:rPr>
      <w:sz w:val="20"/>
    </w:rPr>
  </w:style>
  <w:style w:type="character" w:styleId="861">
    <w:name w:val="endnote reference"/>
    <w:uiPriority w:val="99"/>
    <w:semiHidden/>
    <w:unhideWhenUsed/>
    <w:rPr>
      <w:vertAlign w:val="superscript"/>
    </w:rPr>
  </w:style>
  <w:style w:type="paragraph" w:styleId="862">
    <w:name w:val="toc 1"/>
    <w:basedOn w:val="873"/>
    <w:next w:val="873"/>
    <w:uiPriority w:val="39"/>
    <w:unhideWhenUsed/>
    <w:pPr>
      <w:ind w:left="0" w:right="0" w:firstLine="0"/>
      <w:spacing w:after="57"/>
    </w:pPr>
  </w:style>
  <w:style w:type="paragraph" w:styleId="863">
    <w:name w:val="toc 2"/>
    <w:basedOn w:val="873"/>
    <w:next w:val="873"/>
    <w:uiPriority w:val="39"/>
    <w:unhideWhenUsed/>
    <w:pPr>
      <w:ind w:left="283" w:right="0" w:firstLine="0"/>
      <w:spacing w:after="57"/>
    </w:pPr>
  </w:style>
  <w:style w:type="paragraph" w:styleId="864">
    <w:name w:val="toc 3"/>
    <w:basedOn w:val="873"/>
    <w:next w:val="873"/>
    <w:uiPriority w:val="39"/>
    <w:unhideWhenUsed/>
    <w:pPr>
      <w:ind w:left="567" w:right="0" w:firstLine="0"/>
      <w:spacing w:after="57"/>
    </w:pPr>
  </w:style>
  <w:style w:type="paragraph" w:styleId="865">
    <w:name w:val="toc 4"/>
    <w:basedOn w:val="873"/>
    <w:next w:val="873"/>
    <w:uiPriority w:val="39"/>
    <w:unhideWhenUsed/>
    <w:pPr>
      <w:ind w:left="850" w:right="0" w:firstLine="0"/>
      <w:spacing w:after="57"/>
    </w:pPr>
  </w:style>
  <w:style w:type="paragraph" w:styleId="866">
    <w:name w:val="toc 5"/>
    <w:basedOn w:val="873"/>
    <w:next w:val="873"/>
    <w:uiPriority w:val="39"/>
    <w:unhideWhenUsed/>
    <w:pPr>
      <w:ind w:left="1134" w:right="0" w:firstLine="0"/>
      <w:spacing w:after="57"/>
    </w:pPr>
  </w:style>
  <w:style w:type="paragraph" w:styleId="867">
    <w:name w:val="toc 6"/>
    <w:basedOn w:val="873"/>
    <w:next w:val="873"/>
    <w:uiPriority w:val="39"/>
    <w:unhideWhenUsed/>
    <w:pPr>
      <w:ind w:left="1417" w:right="0" w:firstLine="0"/>
      <w:spacing w:after="57"/>
    </w:pPr>
  </w:style>
  <w:style w:type="paragraph" w:styleId="868">
    <w:name w:val="toc 7"/>
    <w:basedOn w:val="873"/>
    <w:next w:val="873"/>
    <w:uiPriority w:val="39"/>
    <w:unhideWhenUsed/>
    <w:pPr>
      <w:ind w:left="1701" w:right="0" w:firstLine="0"/>
      <w:spacing w:after="57"/>
    </w:pPr>
  </w:style>
  <w:style w:type="paragraph" w:styleId="869">
    <w:name w:val="toc 8"/>
    <w:basedOn w:val="873"/>
    <w:next w:val="873"/>
    <w:uiPriority w:val="39"/>
    <w:unhideWhenUsed/>
    <w:pPr>
      <w:ind w:left="1984" w:right="0" w:firstLine="0"/>
      <w:spacing w:after="57"/>
    </w:pPr>
  </w:style>
  <w:style w:type="paragraph" w:styleId="870">
    <w:name w:val="toc 9"/>
    <w:basedOn w:val="873"/>
    <w:next w:val="873"/>
    <w:uiPriority w:val="39"/>
    <w:unhideWhenUsed/>
    <w:pPr>
      <w:ind w:left="2268" w:right="0" w:firstLine="0"/>
      <w:spacing w:after="57"/>
    </w:pPr>
  </w:style>
  <w:style w:type="paragraph" w:styleId="871">
    <w:name w:val="TOC Heading"/>
    <w:uiPriority w:val="39"/>
    <w:unhideWhenUsed/>
  </w:style>
  <w:style w:type="paragraph" w:styleId="872">
    <w:name w:val="table of figures"/>
    <w:basedOn w:val="873"/>
    <w:next w:val="873"/>
    <w:uiPriority w:val="99"/>
    <w:unhideWhenUsed/>
    <w:pPr>
      <w:spacing w:after="0" w:afterAutospacing="0"/>
    </w:pPr>
  </w:style>
  <w:style w:type="paragraph" w:styleId="873" w:default="1">
    <w:name w:val="Normal"/>
    <w:qFormat/>
  </w:style>
  <w:style w:type="table" w:styleId="8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75" w:default="1">
    <w:name w:val="No List"/>
    <w:uiPriority w:val="99"/>
    <w:semiHidden/>
    <w:unhideWhenUsed/>
  </w:style>
  <w:style w:type="paragraph" w:styleId="876">
    <w:name w:val="No Spacing"/>
    <w:basedOn w:val="873"/>
    <w:uiPriority w:val="1"/>
    <w:qFormat/>
    <w:pPr>
      <w:spacing w:after="0" w:line="240" w:lineRule="auto"/>
    </w:pPr>
  </w:style>
  <w:style w:type="paragraph" w:styleId="877">
    <w:name w:val="List Paragraph"/>
    <w:basedOn w:val="873"/>
    <w:uiPriority w:val="34"/>
    <w:qFormat/>
    <w:pPr>
      <w:contextualSpacing/>
      <w:ind w:left="720"/>
    </w:pPr>
  </w:style>
  <w:style w:type="character" w:styleId="878" w:default="1">
    <w:name w:val="Default Paragraph Font"/>
    <w:uiPriority w:val="1"/>
    <w:semiHidden/>
    <w:unhideWhenUsed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Liberation Sans"/>
        <a:ea typeface="Liberation Sans"/>
        <a:cs typeface="Liberation Sans"/>
      </a:majorFont>
      <a:minorFont>
        <a:latin typeface="Liberation Sans"/>
        <a:ea typeface="Liberation Sans"/>
        <a:cs typeface="Liberation Sans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vorogushina</cp:lastModifiedBy>
  <cp:revision>2</cp:revision>
  <dcterms:modified xsi:type="dcterms:W3CDTF">2026-03-30T10:05:43Z</dcterms:modified>
</cp:coreProperties>
</file>