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both"/>
        <w:spacing w:after="120" w:line="240" w:lineRule="auto"/>
        <w:rPr>
          <w:rFonts w:ascii="PT Astra Serif" w:hAnsi="PT Astra Serif" w:cs="PT Astra Serif"/>
          <w:b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sz w:val="24"/>
          <w:szCs w:val="24"/>
          <w:highlight w:val="none"/>
        </w:rPr>
        <w:t xml:space="preserve">МОНИТОРИНГ на 06.04.2026</w:t>
      </w:r>
      <w:r>
        <w:rPr>
          <w:rFonts w:ascii="PT Astra Serif" w:hAnsi="PT Astra Serif" w:cs="PT Astra Serif"/>
          <w:b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sz w:val="24"/>
          <w:szCs w:val="24"/>
          <w:highlight w:val="none"/>
        </w:rPr>
      </w:r>
    </w:p>
    <w:tbl>
      <w:tblPr>
        <w:tblStyle w:val="762"/>
        <w:tblW w:w="1006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4541"/>
        <w:gridCol w:w="5523"/>
      </w:tblGrid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pStyle w:val="910"/>
              <w:numPr>
                <w:ilvl w:val="0"/>
                <w:numId w:val="1"/>
              </w:numPr>
              <w:ind w:left="602" w:hanging="602"/>
              <w:jc w:val="both"/>
              <w:rPr>
                <w:rFonts w:ascii="PT Astra Serif" w:hAnsi="PT Astra Serif" w:cs="PT Astra Serif"/>
                <w:b/>
                <w:sz w:val="26"/>
                <w:szCs w:val="26"/>
                <w:highlight w:val="none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b/>
                <w:sz w:val="26"/>
                <w:szCs w:val="26"/>
                <w:highlight w:val="none"/>
                <w:shd w:val="clear" w:color="auto" w:fill="ffffff"/>
              </w:rPr>
              <w:t xml:space="preserve">Письмо Минсельхоза России от 27.03.2026 № 25-В-1006/ог-2068</w:t>
            </w:r>
            <w:r>
              <w:rPr>
                <w:rFonts w:ascii="PT Astra Serif" w:hAnsi="PT Astra Serif" w:cs="PT Astra Serif"/>
                <w:b/>
                <w:sz w:val="26"/>
                <w:szCs w:val="26"/>
                <w:highlight w:val="none"/>
                <w:shd w:val="clear" w:color="auto" w:fill="ffffff"/>
              </w:rPr>
            </w:r>
            <w:r>
              <w:rPr>
                <w:rFonts w:ascii="PT Astra Serif" w:hAnsi="PT Astra Serif" w:cs="PT Astra Serif"/>
                <w:b/>
                <w:sz w:val="26"/>
                <w:szCs w:val="26"/>
                <w:highlight w:val="none"/>
                <w:shd w:val="clear" w:color="auto" w:fill="ffffff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ind w:left="567" w:right="0" w:firstLine="0"/>
              <w:jc w:val="both"/>
              <w:shd w:val="nil" w:color="auto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Минсельхоз разъяснил порядок подтверждения страны происхождения по новым позициям рыбы (прил. № 1, поз. 152–154 Постановления № 1875)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10"/>
              <w:numPr>
                <w:ilvl w:val="0"/>
                <w:numId w:val="4"/>
              </w:numPr>
              <w:ind w:left="567" w:right="0" w:hanging="567"/>
              <w:jc w:val="both"/>
              <w:shd w:val="nil" w:color="000000"/>
              <w:rPr>
                <w:rFonts w:ascii="PT Astra Serif" w:hAnsi="PT Astra Serif" w:cs="PT Astra Serif"/>
                <w:b/>
                <w:bCs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  <w:highlight w:val="none"/>
              </w:rPr>
              <w:t xml:space="preserve">Проект Постановления Правительства РФ № </w:t>
            </w:r>
            <w:r>
              <w:rPr>
                <w:rFonts w:ascii="PT Astra Serif" w:hAnsi="PT Astra Serif" w:eastAsia="PT Astra Serif" w:cs="PT Astra Serif"/>
                <w:b/>
                <w:bCs/>
                <w:color w:val="202333"/>
                <w:spacing w:val="2"/>
                <w:sz w:val="26"/>
                <w:szCs w:val="26"/>
                <w:highlight w:val="none"/>
              </w:rPr>
              <w:t xml:space="preserve">01/01/03-26/00166719 «Об утверждении типовых условий контрактов об отдельных мерах ответственности в связи с нарушением поставщиком (подрядчиком, исполнителем) или заказчиком условий контракта»</w:t>
            </w: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ind w:left="567" w:right="0" w:firstLine="0"/>
              <w:jc w:val="both"/>
              <w:shd w:val="nil" w:color="auto"/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Предложено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закрепить обязательные типовые условия контрактов, регулирующие меры ответственности сторон (единые сроки претензионной работы, порядок взыскания неустоек и возврата авансов)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10"/>
              <w:numPr>
                <w:ilvl w:val="0"/>
                <w:numId w:val="10"/>
              </w:numPr>
              <w:ind w:left="567" w:right="0" w:hanging="567"/>
              <w:jc w:val="both"/>
              <w:shd w:val="nil" w:color="auto"/>
              <w:rPr>
                <w:rFonts w:ascii="PT Astra Serif" w:hAnsi="PT Astra Serif" w:cs="PT Astra Serif"/>
                <w:b/>
                <w:bCs/>
                <w:sz w:val="26"/>
                <w:szCs w:val="26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  <w:highlight w:val="none"/>
              </w:rPr>
              <w:t xml:space="preserve">Проект Постановления РФ № </w:t>
            </w: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  <w:highlight w:val="white"/>
              </w:rPr>
              <w:t xml:space="preserve">01/01/03-26/00166841</w:t>
            </w: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  <w:highlight w:val="white"/>
              </w:rPr>
              <w:t xml:space="preserve"> «О внесении изменений в некоторые акты Правительства Российской Федерации»</w:t>
            </w: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b/>
                <w:bCs/>
                <w:sz w:val="26"/>
                <w:szCs w:val="26"/>
                <w:highlight w:val="whit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ind w:left="567" w:right="0" w:firstLine="0"/>
              <w:jc w:val="both"/>
              <w:shd w:val="nil" w:color="auto"/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редложены изменения в ряд актов, регулирующих информационное обеспечение контрактной системы и порядок осуществления контроля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10"/>
              <w:numPr>
                <w:ilvl w:val="0"/>
                <w:numId w:val="3"/>
              </w:numPr>
              <w:ind w:left="567" w:right="0" w:hanging="567"/>
              <w:jc w:val="both"/>
              <w:shd w:val="nil" w:color="000000"/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  <w:highlight w:val="none"/>
              </w:rPr>
              <w:t xml:space="preserve">Судебная практика</w:t>
            </w: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64"/>
        </w:trPr>
        <w:tc>
          <w:tcPr>
            <w:tcW w:w="4541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Cs/>
                <w:i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i/>
                <w:sz w:val="26"/>
                <w:szCs w:val="26"/>
                <w:highlight w:val="none"/>
              </w:rPr>
              <w:t xml:space="preserve">Постановление Арбитражного суда Уральского округа от 11.03.2026 по делу № А60-20964/2025</w:t>
            </w:r>
            <w:r>
              <w:rPr>
                <w:rFonts w:ascii="PT Astra Serif" w:hAnsi="PT Astra Serif"/>
                <w:i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Cs/>
                <w:i/>
                <w:sz w:val="26"/>
                <w:szCs w:val="26"/>
                <w:highlight w:val="none"/>
              </w:rPr>
            </w:r>
          </w:p>
          <w:p>
            <w:pPr>
              <w:jc w:val="both"/>
              <w:rPr>
                <w:rFonts w:ascii="PT Astra Serif" w:hAnsi="PT Astra Serif"/>
                <w:bCs/>
                <w:i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i/>
                <w:sz w:val="26"/>
                <w:szCs w:val="26"/>
                <w:highlight w:val="yellow"/>
              </w:rPr>
            </w:r>
            <w:r>
              <w:rPr>
                <w:rFonts w:ascii="PT Astra Serif" w:hAnsi="PT Astra Serif"/>
                <w:bCs/>
                <w:i/>
                <w:sz w:val="26"/>
                <w:szCs w:val="26"/>
                <w:highlight w:val="yellow"/>
              </w:rPr>
            </w:r>
          </w:p>
        </w:tc>
        <w:tc>
          <w:tcPr>
            <w:tcW w:w="5523" w:type="dxa"/>
            <w:vMerge w:val="restart"/>
            <w:textDirection w:val="lrTb"/>
            <w:noWrap w:val="false"/>
          </w:tcPr>
          <w:p>
            <w:pPr>
              <w:jc w:val="both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none"/>
                <w:lang w:eastAsia="en-US"/>
              </w:rPr>
              <w:t xml:space="preserve">Нарушение требований Закона № 44-ФЗ, в частности непредоставление обеспечения исполнения контракта, влечет за собой признание сделки недействительной, даже если обязательства по ней частично или полностью исполнены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yellow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yellow"/>
              </w:rPr>
            </w:r>
          </w:p>
        </w:tc>
      </w:tr>
    </w:tbl>
    <w:p>
      <w:pPr>
        <w:jc w:val="both"/>
        <w:spacing w:after="0" w:line="240" w:lineRule="auto"/>
        <w:rPr>
          <w:rFonts w:ascii="PT Astra Serif" w:hAnsi="PT Astra Serif" w:cs="PT Astra Serif"/>
          <w:i/>
          <w:sz w:val="26"/>
          <w:szCs w:val="26"/>
          <w:highlight w:val="yellow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sz w:val="26"/>
          <w:szCs w:val="26"/>
          <w:highlight w:val="yellow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Письмо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М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н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с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е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л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ь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х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з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а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Р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с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с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т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  <w:t xml:space="preserve">27.03.2026 № 25-В-1006/ог-2068</w:t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Минсельхоз разъяснил порядок подтверждения страны происхо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ждения по новым позициям рыбы (прил. № 1, поз. 152–154 Постановления № 1875)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соответствии с пунктом 2 Ветеринарных правил организации работы по оформлению ветеринарных сопроводительных документов, утвержденных приказом Минсельхоза России от 13 декабря 2022 г. № 862 (далее – Приказ) ветеринарные сопроводительные документы (далее –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ВСД) характеризуют территориальное и видовое происхождение, ветеринарно-санитарное состояние сопровождаемых подконтрольных товаров, эпизоотическое благополучие территорий их происхождения и позволяют идентифицировать подконтрольные товары. </w:t>
      </w:r>
      <w:r>
        <w:rPr>
          <w:rFonts w:ascii="PT Astra Serif" w:hAnsi="PT Astra Serif" w:cs="PT Astra Serif"/>
          <w:sz w:val="26"/>
          <w:szCs w:val="26"/>
          <w:highlight w:val="yellow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соответствии 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пунктом 3 Приказа ВСД оформляются при производстве подконтрольного товара, перемещении подконтрольного товара, а также при реализации или безвозмездной передаче подконтрольного товара. Оформление ВСД в иных случаях законодательством Российской Федерации 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области ветеринарии не предусмотрено. </w:t>
      </w:r>
      <w:r>
        <w:rPr>
          <w:rFonts w:ascii="PT Astra Serif" w:hAnsi="PT Astra Serif" w:cs="PT Astra Serif"/>
          <w:sz w:val="26"/>
          <w:szCs w:val="26"/>
          <w:highlight w:val="yellow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Оформление ВСД до производства партии подконтрольной продукции является нарушением законодательства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Российской Федерации, в связи с чем ВСД не подлежат представлению в составе заявки на участие в закупке в соответствии с Законом № 44-ФЗ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 Законом № 223-ФЗ в случае, если партия подконтрольного товара еще не произведена (так как в таком слу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чае будут отсутствовать основания для оформления ВСД). </w:t>
      </w:r>
      <w:r>
        <w:rPr>
          <w:rFonts w:ascii="PT Astra Serif" w:hAnsi="PT Astra Serif" w:cs="PT Astra Serif"/>
          <w:sz w:val="26"/>
          <w:szCs w:val="26"/>
          <w:highlight w:val="yellow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подпункте «к» Постановления № 1875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указанно, что информацией и документами, подтверждающими страну происхождения товаров, указанных в пунктах 152-154 приложения № 1 к Постановлению № 1875, являются подлежащий представлению заказчику при поставке товара ВСД, а также указание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 заявке на участие в закупке наименования страны происхождения товара. </w:t>
      </w:r>
      <w:r>
        <w:rPr>
          <w:rFonts w:ascii="PT Astra Serif" w:hAnsi="PT Astra Serif" w:cs="PT Astra Serif"/>
          <w:sz w:val="26"/>
          <w:szCs w:val="26"/>
          <w:highlight w:val="yellow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Учитывая вышеуказанное, при отсутствии ВСД в связи с тем, что партия подконтрольного товара еще не произведена, в заявке на участие в закупке необходимо указывать наименования страны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происхождения подконтрольного товара, после чего происхождение товара будет подтверждаться ВСД при непосредственной поставке товара заказчику. Указанное относится и к пункту «л» Постановления № 1875 (с учетом изменений, внесенных постановлением Правительст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ва Российской Федерации от 18 декабря 2025 г.</w:t>
        <w:br/>
        <w:t xml:space="preserve">№ 2062). </w:t>
      </w:r>
      <w:r>
        <w:rPr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highlight w:val="none"/>
          <w14:ligatures w14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eastAsia="PT Astra Serif" w:cs="PT Astra Serif"/>
          <w:b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Проект Постановления Правительства Российской Федерации № 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01/01/03-26/00166719 «Об утверждении типовых условий контрактов об отдельных мерах ответственности в связи с нарушением поставщиком (подрядчиком, исполнителем) или заказчиком условий контракта»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/>
          <w:i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Предложено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закрепить обязательные типовые условия контрактов, регулирующие меры ответственности сторон (единые сроки претензионной работы, порядок взыскания неустоек и возврата авансов)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Проект устанавливает единые сроки претензионной работы: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заказчик обязан направить претензию —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не позднее 3 рабочих дней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 с момента выявления нарушения;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ответ на претензию —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течение 3 рабочих дней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исполнение требований об уплате штрафа, пени, возврате аванса —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течение 7 рабочих дней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Закрепляется приоритетная схема взыскания: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Удержание сумм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 неустоек и задолженности из оплаты по контракту;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 невозможности удержания —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обращение к независимой гарантии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При этом заказчик обязан предъявить требование по гарантии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до окончания срока ее действия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Проект вводит механизм автоматической корректировки авансов,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если выплаченный аванс превышает фактически исполненные обязательства, заказчик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уменьшает следующий платеж, либо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требует возврат разницы.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Требование о возврате направляется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течение 3 рабочих дней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 с даты выявления.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Проект постановления находится на этапе общественного обсуждения, который завершится 10 апреля 2026 года.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hyperlink r:id="rId12" w:tooltip="https://regulation.gov.ru/projects/166719/" w:history="1">
        <w:r>
          <w:rPr>
            <w:rStyle w:val="888"/>
            <w:rFonts w:ascii="PT Astra Serif" w:hAnsi="PT Astra Serif" w:eastAsia="PT Astra Serif" w:cs="PT Astra Serif"/>
            <w:sz w:val="26"/>
            <w:szCs w:val="26"/>
            <w:highlight w:val="none"/>
          </w:rPr>
          <w:t xml:space="preserve">https://regulation.gov.ru/projects/166719/</w:t>
        </w:r>
        <w:r>
          <w:rPr>
            <w:rStyle w:val="888"/>
            <w:rFonts w:ascii="PT Astra Serif" w:hAnsi="PT Astra Serif" w:eastAsia="PT Astra Serif" w:cs="PT Astra Serif"/>
            <w:sz w:val="26"/>
            <w:szCs w:val="26"/>
            <w:highlight w:val="none"/>
          </w:rPr>
        </w:r>
        <w:r>
          <w:rPr>
            <w:rStyle w:val="888"/>
            <w:rFonts w:ascii="PT Astra Serif" w:hAnsi="PT Astra Serif" w:eastAsia="PT Astra Serif" w:cs="PT Astra Serif"/>
            <w:sz w:val="26"/>
            <w:szCs w:val="26"/>
            <w:highlight w:val="none"/>
          </w:rPr>
          <w:t xml:space="preserve"> </w:t>
        </w:r>
      </w:hyperlink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b/>
          <w:bCs/>
          <w:sz w:val="26"/>
          <w:szCs w:val="26"/>
          <w:highlight w:val="whit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Проект Постановления Российской Федерации № 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white"/>
        </w:rPr>
        <w:t xml:space="preserve">01/01/03-26/00166841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white"/>
        </w:rPr>
        <w:t xml:space="preserve"> «О внесении изменений в некоторые акты Правительства Российской Федерации»</w:t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  <w14:ligatures w14:val="none"/>
        </w:rPr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редложены изменения в ряд актов, регулирующих информационное обеспечение контрактной системы и порядок осуществления контроля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Вводятся особенности включения контрактов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 единственным поставщиком (п. 4, 5 ч. 1 ст. 93 Закона № 44-ФЗ)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реестр: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pStyle w:val="910"/>
        <w:numPr>
          <w:ilvl w:val="0"/>
          <w:numId w:val="17"/>
        </w:numPr>
        <w:contextualSpacing w:val="0"/>
        <w:ind w:left="0" w:right="0"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допускается упрощенное формирование и направление сведений;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pStyle w:val="910"/>
        <w:numPr>
          <w:ilvl w:val="0"/>
          <w:numId w:val="17"/>
        </w:numPr>
        <w:contextualSpacing w:val="0"/>
        <w:ind w:left="0" w:right="0"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переходный период допускается направлять в ЕИС не полный комплект документов, а перечень контрактов;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pStyle w:val="910"/>
        <w:numPr>
          <w:ilvl w:val="0"/>
          <w:numId w:val="17"/>
        </w:numPr>
        <w:contextualSpacing w:val="0"/>
        <w:ind w:left="0" w:right="0" w:firstLine="709"/>
        <w:jc w:val="both"/>
        <w:spacing w:before="0" w:after="0" w:line="240" w:lineRule="auto"/>
        <w:shd w:val="nil" w:color="auto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часть информации по таким контрактам не подлежит размещению в открытой части ЕИС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contextualSpacing w:val="0"/>
        <w:ind w:left="0" w:right="0"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Предложено 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асширение контроля по ст. 99 Закона № 44-ФЗ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Контроль будет распространяться не только на контракты, но и на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проекты соглашений об изменении условий контракта,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изменения цены и источников финансирования,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соответствие финансового обеспечения условиям контракта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Закрепляются особенности формирования и контроля документов вне ЕИС: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pStyle w:val="910"/>
        <w:numPr>
          <w:ilvl w:val="0"/>
          <w:numId w:val="18"/>
        </w:numPr>
        <w:contextualSpacing w:val="0"/>
        <w:ind w:left="0" w:right="0"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 закупках, содержащих сведения, составляющие государственную тайну;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pStyle w:val="910"/>
        <w:numPr>
          <w:ilvl w:val="0"/>
          <w:numId w:val="18"/>
        </w:numPr>
        <w:contextualSpacing w:val="0"/>
        <w:ind w:left="0" w:right="0" w:firstLine="709"/>
        <w:jc w:val="both"/>
        <w:spacing w:before="0" w:after="0" w:line="240" w:lineRule="auto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 закупках у единственного поставщика, оформляемых без использования ЕИС (ч. 14 ст. 93 Закона № 44-ФЗ).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auto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реестр контрактов дополнительно включат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сведения об оплате, включая налоги и обязательные платежи,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информацию об удержанных неустойках,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сведения об отказе заказчика от прав по независимой гарантии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Проект постановления находится на этапе проведения независимой антикоррупционной экспертизы, который завершится 7 апреля 2026 года.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hyperlink r:id="rId13" w:tooltip="https://regulation.gov.ru/projects/166841/" w:history="1">
        <w:r>
          <w:rPr>
            <w:rStyle w:val="888"/>
            <w:rFonts w:ascii="PT Astra Serif" w:hAnsi="PT Astra Serif" w:eastAsia="PT Astra Serif" w:cs="PT Astra Serif"/>
            <w:sz w:val="26"/>
            <w:szCs w:val="26"/>
            <w:highlight w:val="none"/>
          </w:rPr>
          <w:t xml:space="preserve">https://regulation.gov.ru/projects/166841/</w:t>
        </w:r>
        <w:r>
          <w:rPr>
            <w:rStyle w:val="888"/>
            <w:rFonts w:ascii="PT Astra Serif" w:hAnsi="PT Astra Serif" w:eastAsia="PT Astra Serif" w:cs="PT Astra Serif"/>
            <w:sz w:val="26"/>
            <w:szCs w:val="26"/>
            <w:highlight w:val="none"/>
          </w:rPr>
        </w:r>
        <w:r>
          <w:rPr>
            <w:rStyle w:val="888"/>
            <w:rFonts w:ascii="PT Astra Serif" w:hAnsi="PT Astra Serif" w:eastAsia="PT Astra Serif" w:cs="PT Astra Serif"/>
            <w:sz w:val="26"/>
            <w:szCs w:val="26"/>
            <w:highlight w:val="none"/>
          </w:rPr>
        </w:r>
      </w:hyperlink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Постановление Арбитражного суда Уральского округа от 11.03.2026 по делу № А60-20964/2025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Заявитель: ИП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Учреждение и ИП заключили муниципальный контракт на осуществление регулярных перевозок по регулируемым тарифам по двум маршрутам на территории городского округа.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 соответствии с пунктом 2.2 муниципального контракта его цена составила 12 547 643 руб. 54 ко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п. Согласно пункту 7.1 муниципального контракта размер обеспечения исполнения контракта определяется в соответствии с порядком, установленным частью 6 статьи 96 Закона № 44-ФЗ с учетом положений статьи 37 Закона № 44-ФЗ, и составляет 1 254 764 руб. 35 коп.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ИП не предоставлено обеспечение исполнения муниципального контракта в размере 10% цены контракта в виде независимой гарантии или внесения денежных средств на счет.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Учитывая указанные обстоятельства, принимая во внимание, что при заключении муниципального контракта допущены нарушения требований статьи 96 Закона № 44-ФЗ, ИП должен быть признан уклонившимся от заключения контракта.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Прокуратура обратилась в суд с иском к Учреждению и ИП о признании недействительным (ничтожным) муниципального контракта, взыскания с ИП в пользу Учреждения суммы 4 726 750 руб. 27 коп.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Суд указал, что действия ответчиков по заключению контракта в отсутствие обеспечения его исполнения являются нарушением прямого законодательного запрета, установленного пунктом 2 части 1 статьи 17 Федерального закона от 26.07.2006 № 135-ФЗ «О защите конкуренции». Ф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акт исполнения обязательств, а также принятие и оплата работ заказчиком не влияют на квалификацию сделки и не устраняют допущенное нарушение. Суд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удовлетворил исковые требования.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  <w:r/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Суды вышестоящих инстанций согласились с позицией суда первой инстанции. </w:t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:highlight w:val="yellow"/>
          <w14:ligatures w14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yellow"/>
          <w14:ligatures w14:val="none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567" w:bottom="1134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Roboto">
    <w:panose1 w:val="02000000000000000000"/>
  </w:font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  <w:jc w:val="center"/>
      <w:rPr>
        <w:rFonts w:ascii="PT Astra Serif" w:hAnsi="PT Astra Serif" w:cs="PT Astra Serif"/>
      </w:rPr>
    </w:pPr>
    <w:fldSimple w:instr="PAGE \* MERGEFORMAT">
      <w:r>
        <w:rPr>
          <w:rFonts w:ascii="PT Astra Serif" w:hAnsi="PT Astra Serif" w:eastAsia="PT Astra Serif" w:cs="PT Astra Serif"/>
        </w:rPr>
        <w:t xml:space="preserve">1</w:t>
      </w:r>
    </w:fldSimple>
    <w:r>
      <w:rPr>
        <w:rFonts w:ascii="PT Astra Serif" w:hAnsi="PT Astra Serif" w:eastAsia="PT Astra Serif" w:cs="PT Astra Serif"/>
      </w:rPr>
    </w: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</w:p>
  <w:p>
    <w:pPr>
      <w:pStyle w:val="75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57" w:hanging="357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322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4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6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8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0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92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4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6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82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Roboto" w:hAnsi="Roboto" w:eastAsia="Roboto" w:cs="Roboto"/>
        <w:color w:val="1c1c21"/>
        <w:spacing w:val="1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0">
    <w:name w:val="Heading 1"/>
    <w:basedOn w:val="906"/>
    <w:next w:val="906"/>
    <w:link w:val="73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1">
    <w:name w:val="Heading 1 Char"/>
    <w:link w:val="73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2">
    <w:name w:val="Heading 2"/>
    <w:basedOn w:val="906"/>
    <w:next w:val="906"/>
    <w:link w:val="73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3">
    <w:name w:val="Heading 2 Char"/>
    <w:link w:val="732"/>
    <w:uiPriority w:val="9"/>
    <w:rPr>
      <w:rFonts w:ascii="Liberation Sans" w:hAnsi="Liberation Sans" w:eastAsia="Liberation Sans" w:cs="Liberation Sans"/>
      <w:sz w:val="34"/>
    </w:rPr>
  </w:style>
  <w:style w:type="paragraph" w:styleId="734">
    <w:name w:val="Heading 3"/>
    <w:basedOn w:val="906"/>
    <w:next w:val="906"/>
    <w:link w:val="73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5">
    <w:name w:val="Heading 3 Char"/>
    <w:link w:val="73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6">
    <w:name w:val="Heading 4"/>
    <w:basedOn w:val="906"/>
    <w:next w:val="906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7">
    <w:name w:val="Heading 4 Char"/>
    <w:link w:val="73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8">
    <w:name w:val="Heading 5"/>
    <w:basedOn w:val="906"/>
    <w:next w:val="906"/>
    <w:link w:val="73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9">
    <w:name w:val="Heading 5 Char"/>
    <w:link w:val="73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0">
    <w:name w:val="Heading 6"/>
    <w:basedOn w:val="906"/>
    <w:next w:val="906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1">
    <w:name w:val="Heading 6 Char"/>
    <w:link w:val="74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2">
    <w:name w:val="Heading 7"/>
    <w:basedOn w:val="906"/>
    <w:next w:val="906"/>
    <w:link w:val="74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3">
    <w:name w:val="Heading 7 Char"/>
    <w:link w:val="74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4">
    <w:name w:val="Heading 8"/>
    <w:basedOn w:val="906"/>
    <w:next w:val="906"/>
    <w:link w:val="74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5">
    <w:name w:val="Heading 8 Char"/>
    <w:link w:val="74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6">
    <w:name w:val="Heading 9"/>
    <w:basedOn w:val="906"/>
    <w:next w:val="906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7">
    <w:name w:val="Heading 9 Char"/>
    <w:link w:val="74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8">
    <w:name w:val="Title"/>
    <w:basedOn w:val="906"/>
    <w:next w:val="906"/>
    <w:link w:val="74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9">
    <w:name w:val="Title Char"/>
    <w:link w:val="748"/>
    <w:uiPriority w:val="10"/>
    <w:rPr>
      <w:sz w:val="48"/>
      <w:szCs w:val="48"/>
    </w:rPr>
  </w:style>
  <w:style w:type="paragraph" w:styleId="750">
    <w:name w:val="Subtitle"/>
    <w:basedOn w:val="906"/>
    <w:next w:val="906"/>
    <w:link w:val="751"/>
    <w:uiPriority w:val="11"/>
    <w:qFormat/>
    <w:pPr>
      <w:spacing w:before="200" w:after="200"/>
    </w:pPr>
    <w:rPr>
      <w:sz w:val="24"/>
      <w:szCs w:val="24"/>
    </w:rPr>
  </w:style>
  <w:style w:type="character" w:styleId="751">
    <w:name w:val="Subtitle Char"/>
    <w:link w:val="750"/>
    <w:uiPriority w:val="11"/>
    <w:rPr>
      <w:sz w:val="24"/>
      <w:szCs w:val="24"/>
    </w:rPr>
  </w:style>
  <w:style w:type="paragraph" w:styleId="752">
    <w:name w:val="Quote"/>
    <w:basedOn w:val="906"/>
    <w:next w:val="906"/>
    <w:link w:val="753"/>
    <w:uiPriority w:val="29"/>
    <w:qFormat/>
    <w:pPr>
      <w:ind w:left="720" w:right="720"/>
    </w:pPr>
    <w:rPr>
      <w:i/>
    </w:rPr>
  </w:style>
  <w:style w:type="character" w:styleId="753">
    <w:name w:val="Quote Char"/>
    <w:link w:val="752"/>
    <w:uiPriority w:val="29"/>
    <w:rPr>
      <w:i/>
    </w:rPr>
  </w:style>
  <w:style w:type="paragraph" w:styleId="754">
    <w:name w:val="Intense Quote"/>
    <w:basedOn w:val="906"/>
    <w:next w:val="906"/>
    <w:link w:val="75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5">
    <w:name w:val="Intense Quote Char"/>
    <w:link w:val="754"/>
    <w:uiPriority w:val="30"/>
    <w:rPr>
      <w:i/>
    </w:rPr>
  </w:style>
  <w:style w:type="paragraph" w:styleId="756">
    <w:name w:val="Header"/>
    <w:basedOn w:val="906"/>
    <w:link w:val="75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7">
    <w:name w:val="Header Char"/>
    <w:link w:val="756"/>
    <w:uiPriority w:val="99"/>
  </w:style>
  <w:style w:type="paragraph" w:styleId="758">
    <w:name w:val="Footer"/>
    <w:basedOn w:val="906"/>
    <w:link w:val="75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9">
    <w:name w:val="Footer Char"/>
    <w:link w:val="758"/>
    <w:uiPriority w:val="99"/>
  </w:style>
  <w:style w:type="paragraph" w:styleId="760">
    <w:name w:val="Caption"/>
    <w:basedOn w:val="906"/>
    <w:next w:val="906"/>
    <w:link w:val="7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1">
    <w:name w:val="Caption Char"/>
    <w:link w:val="760"/>
    <w:uiPriority w:val="35"/>
    <w:rPr>
      <w:b/>
      <w:bCs/>
      <w:color w:val="4f81bd" w:themeColor="accent1"/>
      <w:sz w:val="18"/>
      <w:szCs w:val="18"/>
    </w:rPr>
  </w:style>
  <w:style w:type="table" w:styleId="762">
    <w:name w:val="Table Grid"/>
    <w:basedOn w:val="90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3">
    <w:name w:val="Table Grid Light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Plain Table 1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5">
    <w:name w:val="Plain Table 2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6">
    <w:name w:val="Plain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>
    <w:name w:val="Grid Table 4 - Accent 1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2">
    <w:name w:val="Grid Table 4 - Accent 2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Grid Table 4 - Accent 3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4">
    <w:name w:val="Grid Table 4 - Accent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Grid Table 4 - Accent 5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6">
    <w:name w:val="Grid Table 4 - Accent 6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7">
    <w:name w:val="Grid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8">
    <w:name w:val="Grid Table 5 Dark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4">
    <w:name w:val="Grid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5">
    <w:name w:val="Grid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6">
    <w:name w:val="Grid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7">
    <w:name w:val="Grid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8">
    <w:name w:val="Grid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9">
    <w:name w:val="Grid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0">
    <w:name w:val="Grid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1">
    <w:name w:val="Grid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6">
    <w:name w:val="List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7">
    <w:name w:val="List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8">
    <w:name w:val="List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9">
    <w:name w:val="List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0">
    <w:name w:val="List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1">
    <w:name w:val="List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7">
    <w:name w:val="List Table 5 Dark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9">
    <w:name w:val="List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4">
    <w:name w:val="List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5">
    <w:name w:val="List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6">
    <w:name w:val="List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7">
    <w:name w:val="List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8">
    <w:name w:val="List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9">
    <w:name w:val="List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0">
    <w:name w:val="List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1">
    <w:name w:val="List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62">
    <w:name w:val="List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3">
    <w:name w:val="List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4">
    <w:name w:val="List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5">
    <w:name w:val="List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6">
    <w:name w:val="List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67">
    <w:name w:val="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8">
    <w:name w:val="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9">
    <w:name w:val="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0">
    <w:name w:val="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1">
    <w:name w:val="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2">
    <w:name w:val="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3">
    <w:name w:val="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4">
    <w:name w:val="Bordered &amp; 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Bordered &amp; 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6">
    <w:name w:val="Bordered &amp; 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7">
    <w:name w:val="Bordered &amp; 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8">
    <w:name w:val="Bordered &amp; 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9">
    <w:name w:val="Bordered &amp; 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0">
    <w:name w:val="Bordered &amp; 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1">
    <w:name w:val="Bordered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2">
    <w:name w:val="Bordered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3">
    <w:name w:val="Bordered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4">
    <w:name w:val="Bordered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5">
    <w:name w:val="Bordered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6">
    <w:name w:val="Bordered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7">
    <w:name w:val="Bordered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8">
    <w:name w:val="Hyperlink"/>
    <w:uiPriority w:val="99"/>
    <w:unhideWhenUsed/>
    <w:rPr>
      <w:color w:val="0000ff" w:themeColor="hyperlink"/>
      <w:u w:val="single"/>
    </w:rPr>
  </w:style>
  <w:style w:type="paragraph" w:styleId="889">
    <w:name w:val="footnote text"/>
    <w:basedOn w:val="906"/>
    <w:link w:val="890"/>
    <w:uiPriority w:val="99"/>
    <w:semiHidden/>
    <w:unhideWhenUsed/>
    <w:pPr>
      <w:spacing w:after="40" w:line="240" w:lineRule="auto"/>
    </w:pPr>
    <w:rPr>
      <w:sz w:val="18"/>
    </w:rPr>
  </w:style>
  <w:style w:type="character" w:styleId="890">
    <w:name w:val="Footnote Text Char"/>
    <w:link w:val="889"/>
    <w:uiPriority w:val="99"/>
    <w:rPr>
      <w:sz w:val="18"/>
    </w:rPr>
  </w:style>
  <w:style w:type="character" w:styleId="891">
    <w:name w:val="footnote reference"/>
    <w:uiPriority w:val="99"/>
    <w:unhideWhenUsed/>
    <w:rPr>
      <w:vertAlign w:val="superscript"/>
    </w:rPr>
  </w:style>
  <w:style w:type="paragraph" w:styleId="892">
    <w:name w:val="endnote text"/>
    <w:basedOn w:val="906"/>
    <w:link w:val="893"/>
    <w:uiPriority w:val="99"/>
    <w:semiHidden/>
    <w:unhideWhenUsed/>
    <w:pPr>
      <w:spacing w:after="0" w:line="240" w:lineRule="auto"/>
    </w:pPr>
    <w:rPr>
      <w:sz w:val="20"/>
    </w:rPr>
  </w:style>
  <w:style w:type="character" w:styleId="893">
    <w:name w:val="Endnote Text Char"/>
    <w:link w:val="892"/>
    <w:uiPriority w:val="99"/>
    <w:rPr>
      <w:sz w:val="20"/>
    </w:rPr>
  </w:style>
  <w:style w:type="character" w:styleId="894">
    <w:name w:val="endnote reference"/>
    <w:uiPriority w:val="99"/>
    <w:semiHidden/>
    <w:unhideWhenUsed/>
    <w:rPr>
      <w:vertAlign w:val="superscript"/>
    </w:rPr>
  </w:style>
  <w:style w:type="paragraph" w:styleId="895">
    <w:name w:val="toc 1"/>
    <w:basedOn w:val="906"/>
    <w:next w:val="906"/>
    <w:uiPriority w:val="39"/>
    <w:unhideWhenUsed/>
    <w:pPr>
      <w:ind w:left="0" w:right="0" w:firstLine="0"/>
      <w:spacing w:after="57"/>
    </w:pPr>
  </w:style>
  <w:style w:type="paragraph" w:styleId="896">
    <w:name w:val="toc 2"/>
    <w:basedOn w:val="906"/>
    <w:next w:val="906"/>
    <w:uiPriority w:val="39"/>
    <w:unhideWhenUsed/>
    <w:pPr>
      <w:ind w:left="283" w:right="0" w:firstLine="0"/>
      <w:spacing w:after="57"/>
    </w:pPr>
  </w:style>
  <w:style w:type="paragraph" w:styleId="897">
    <w:name w:val="toc 3"/>
    <w:basedOn w:val="906"/>
    <w:next w:val="906"/>
    <w:uiPriority w:val="39"/>
    <w:unhideWhenUsed/>
    <w:pPr>
      <w:ind w:left="567" w:right="0" w:firstLine="0"/>
      <w:spacing w:after="57"/>
    </w:pPr>
  </w:style>
  <w:style w:type="paragraph" w:styleId="898">
    <w:name w:val="toc 4"/>
    <w:basedOn w:val="906"/>
    <w:next w:val="906"/>
    <w:uiPriority w:val="39"/>
    <w:unhideWhenUsed/>
    <w:pPr>
      <w:ind w:left="850" w:right="0" w:firstLine="0"/>
      <w:spacing w:after="57"/>
    </w:pPr>
  </w:style>
  <w:style w:type="paragraph" w:styleId="899">
    <w:name w:val="toc 5"/>
    <w:basedOn w:val="906"/>
    <w:next w:val="906"/>
    <w:uiPriority w:val="39"/>
    <w:unhideWhenUsed/>
    <w:pPr>
      <w:ind w:left="1134" w:right="0" w:firstLine="0"/>
      <w:spacing w:after="57"/>
    </w:pPr>
  </w:style>
  <w:style w:type="paragraph" w:styleId="900">
    <w:name w:val="toc 6"/>
    <w:basedOn w:val="906"/>
    <w:next w:val="906"/>
    <w:uiPriority w:val="39"/>
    <w:unhideWhenUsed/>
    <w:pPr>
      <w:ind w:left="1417" w:right="0" w:firstLine="0"/>
      <w:spacing w:after="57"/>
    </w:pPr>
  </w:style>
  <w:style w:type="paragraph" w:styleId="901">
    <w:name w:val="toc 7"/>
    <w:basedOn w:val="906"/>
    <w:next w:val="906"/>
    <w:uiPriority w:val="39"/>
    <w:unhideWhenUsed/>
    <w:pPr>
      <w:ind w:left="1701" w:right="0" w:firstLine="0"/>
      <w:spacing w:after="57"/>
    </w:pPr>
  </w:style>
  <w:style w:type="paragraph" w:styleId="902">
    <w:name w:val="toc 8"/>
    <w:basedOn w:val="906"/>
    <w:next w:val="906"/>
    <w:uiPriority w:val="39"/>
    <w:unhideWhenUsed/>
    <w:pPr>
      <w:ind w:left="1984" w:right="0" w:firstLine="0"/>
      <w:spacing w:after="57"/>
    </w:pPr>
  </w:style>
  <w:style w:type="paragraph" w:styleId="903">
    <w:name w:val="toc 9"/>
    <w:basedOn w:val="906"/>
    <w:next w:val="906"/>
    <w:uiPriority w:val="39"/>
    <w:unhideWhenUsed/>
    <w:pPr>
      <w:ind w:left="2268" w:right="0" w:firstLine="0"/>
      <w:spacing w:after="57"/>
    </w:pPr>
  </w:style>
  <w:style w:type="paragraph" w:styleId="904">
    <w:name w:val="TOC Heading"/>
    <w:uiPriority w:val="39"/>
    <w:unhideWhenUsed/>
  </w:style>
  <w:style w:type="paragraph" w:styleId="905">
    <w:name w:val="table of figures"/>
    <w:basedOn w:val="906"/>
    <w:next w:val="906"/>
    <w:uiPriority w:val="99"/>
    <w:unhideWhenUsed/>
    <w:pPr>
      <w:spacing w:after="0" w:afterAutospacing="0"/>
    </w:pPr>
  </w:style>
  <w:style w:type="paragraph" w:styleId="906" w:default="1">
    <w:name w:val="Normal"/>
    <w:qFormat/>
  </w:style>
  <w:style w:type="table" w:styleId="9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8" w:default="1">
    <w:name w:val="No List"/>
    <w:uiPriority w:val="99"/>
    <w:semiHidden/>
    <w:unhideWhenUsed/>
  </w:style>
  <w:style w:type="paragraph" w:styleId="909">
    <w:name w:val="No Spacing"/>
    <w:basedOn w:val="906"/>
    <w:uiPriority w:val="1"/>
    <w:qFormat/>
    <w:pPr>
      <w:spacing w:after="0" w:line="240" w:lineRule="auto"/>
    </w:pPr>
  </w:style>
  <w:style w:type="paragraph" w:styleId="910">
    <w:name w:val="List Paragraph"/>
    <w:basedOn w:val="906"/>
    <w:uiPriority w:val="34"/>
    <w:qFormat/>
    <w:pPr>
      <w:contextualSpacing/>
      <w:ind w:left="720"/>
    </w:pPr>
  </w:style>
  <w:style w:type="character" w:styleId="911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hyperlink" Target="https://regulation.gov.ru/projects/166719/" TargetMode="External"/><Relationship Id="rId13" Type="http://schemas.openxmlformats.org/officeDocument/2006/relationships/hyperlink" Target="https://regulation.gov.ru/projects/166841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vorogushina</cp:lastModifiedBy>
  <cp:revision>5</cp:revision>
  <dcterms:modified xsi:type="dcterms:W3CDTF">2026-04-06T06:24:54Z</dcterms:modified>
</cp:coreProperties>
</file>