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120" w:line="240" w:lineRule="auto"/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color w:val="000000" w:themeColor="text1"/>
          <w:sz w:val="24"/>
          <w:szCs w:val="24"/>
          <w:highlight w:val="none"/>
        </w:rPr>
        <w:t xml:space="preserve">МОНИТОРИНГ на 13.04.2026</w:t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</w:p>
    <w:tbl>
      <w:tblPr>
        <w:tblStyle w:val="772"/>
        <w:tblW w:w="1006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5108"/>
        <w:gridCol w:w="4956"/>
      </w:tblGrid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pStyle w:val="920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cs="PT Astra Serif"/>
                <w:b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Письмо Минфина России от 26.03.2026 № 24-06-06/24862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ind w:left="567" w:right="0" w:firstLine="0"/>
              <w:shd w:val="nil" w:color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</w:rPr>
              <w:t xml:space="preserve">Минфин разъяснил сроки заключения «цифрового контракта» с единственным поставщиком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0"/>
              <w:numPr>
                <w:ilvl w:val="0"/>
                <w:numId w:val="4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Проект Постановления Правительства РФ №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  <w:t xml:space="preserve">01/02/04-26/00166891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  <w:t xml:space="preserve">«О внесении изменений в Порядок определения начальной (максимальной) цены контракта, цены контракта, заключаемо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  <w:t xml:space="preserve">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бензин, утвержденный приказом ФАС России от 22 ноября 2024 г. № 894/24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contextualSpacing w:val="0"/>
              <w:ind w:left="0" w:right="0" w:firstLine="567"/>
              <w:jc w:val="both"/>
              <w:shd w:val="nil" w:color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 w:themeColor="text1"/>
                <w:spacing w:val="10"/>
                <w:sz w:val="26"/>
                <w:szCs w:val="26"/>
                <w:highlight w:val="none"/>
              </w:rPr>
              <w:t xml:space="preserve">Предложено у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10"/>
                <w:sz w:val="26"/>
                <w:szCs w:val="26"/>
                <w:highlight w:val="none"/>
              </w:rPr>
              <w:t xml:space="preserve">точнить порядок формирования НМЦК на топливо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0"/>
              <w:numPr>
                <w:ilvl w:val="0"/>
                <w:numId w:val="10"/>
              </w:numPr>
              <w:ind w:left="567" w:right="0" w:hanging="567"/>
              <w:jc w:val="both"/>
              <w:shd w:val="nil" w:color="auto"/>
              <w:rPr>
                <w:rFonts w:ascii="PT Astra Serif" w:hAnsi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Проект Постановления РФ №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  <w:t xml:space="preserve">01/01/04-26/00166941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  <w:t xml:space="preserve"> «О внесении изменений в постановление Правительства Российской Федерации от 23 декабря 2024 г. № 1875»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ind w:left="567" w:right="0" w:firstLine="0"/>
              <w:jc w:val="both"/>
              <w:shd w:val="nil" w:color="000000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10"/>
                <w:sz w:val="26"/>
                <w:szCs w:val="26"/>
                <w:highlight w:val="none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10"/>
                <w:sz w:val="26"/>
                <w:szCs w:val="26"/>
                <w:highlight w:val="none"/>
              </w:rPr>
              <w:t xml:space="preserve">редложено расширить перечень товаров, в отношении которых действуют ограничения на закупку иностранной продукции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0"/>
              <w:numPr>
                <w:ilvl w:val="0"/>
                <w:numId w:val="3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Судебная практика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tcW w:w="5108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Постановление Девятого арбитражного апелляционного суда от 25.03.2026 </w:t>
              <w:br/>
              <w:t xml:space="preserve">№ 09АП-6460/2026 по делу № А40-124916/25</w:t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</w:p>
          <w:p>
            <w:pPr>
              <w:jc w:val="both"/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</w:p>
        </w:tc>
        <w:tc>
          <w:tcPr>
            <w:tcW w:w="4956" w:type="dxa"/>
            <w:vMerge w:val="restart"/>
            <w:textDirection w:val="lrTb"/>
            <w:noWrap w:val="false"/>
          </w:tcPr>
          <w:p>
            <w:pPr>
              <w:jc w:val="both"/>
              <w:shd w:val="nil" w:color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yellow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  <w:lang w:eastAsia="en-US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white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white"/>
              </w:rPr>
              <w:t xml:space="preserve">ри применении ограничений по Постановлению № 1875 заказчику необходимо учитывать не только соответствие кода ОКПД2, но и наименование продукции, указанное в перечне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  <w:lang w:eastAsia="en-US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yellow"/>
                <w14:ligatures w14:val="none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Письмо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М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нфина России от 26.03.2026 № 24-06-06/24862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«О рассмотрении обращения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»</w:t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Минфин разъяснил сроки заключения «цифрового контракта» с единственным поставщиком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Согласно части 14 статьи 93 Закона № 44-ФЗ в случаях, предусмотренных частью 1 указанной статьи, допускается заключение контракта с использованием единой информационной системы в сфере закупок (далее - ЕИС) в порядке, установленном пунктом 3 части 5 статьи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93 Закона № 44-ФЗ.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В соответствии с пунктом 3 части 5 статьи 93 Закона № 44-ФЗ заключение контракта с единственным поставщиком (подрядчиком, исполнителем) осуществляется в порядке, установленном Законом № 44-ФЗ для заключения контракта с победителем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соответствующего способа определения поставщика (подрядчика, исполнителя), с учетом положений части 9 статьи 93 Закона № 44-ФЗ.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Порядок заключения контракта по результатам электронных процедур, закрытых электронных процедур, осуществленных любым конкурентным способом, по общему правилу определен статьей 51 Закона № 44-ФЗ.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Учитывая изложенное, закл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ючение контракта с единственным поставщиком (подрядчиком, исполнителем) в случаях, предусмотренных частью 14 статьи 93 Закона </w:t>
        <w:br/>
        <w:t xml:space="preserve">№ 44-ФЗ, осуществляется в порядке, предусмотренном статьей 51 Закона № 44-ФЗ.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При этом необходимость применения предусмотренных ча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стью 6 статьи 50 Закона № 44-ФЗ особенностей заключения контракта в указанном случае отсутствует, поскольку такие особенности при заключении контракта с единственным поставщиком (подрядчиком, исполнителем) применяются исключительно в случае признания элект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ронного запроса котировок несостоявшимся.</w:t>
      </w:r>
      <w:r>
        <w:rPr>
          <w:color w:val="000000" w:themeColor="text1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eastAsia="PT Astra Serif" w:cs="PT Astra Serif"/>
          <w:b/>
          <w:i/>
          <w:color w:val="000000" w:themeColor="text1"/>
          <w:spacing w:val="2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Проект Постановления Правительства РФ № 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01/02/04-26/00166891 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«О внесении изменений в Порядок определения начальной (максимальной) цены контракта, цены контракта, заключаемо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бензин, утвержденный приказом ФАС России от 22 ноября 2024 г. № 894/24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»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/>
          <w:i/>
          <w:color w:val="000000" w:themeColor="text1"/>
          <w:spacing w:val="2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Предложено у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точнить порядок формирования НМЦК на топливо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Из порядка исключают устаревший Прейскурант № 10-01 и заменяют его на действующее Тарифное руководство № 1 (приказы ФАС 2025–2026 гг.).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Для поставок топлива через АЗС и бункеровку закрепляют правило об определении НМЦК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на основе средней потребительской цены в регионе или районе выборки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(по данным ЦДУ ТЭК, Росстата и др.)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При отсутствии статистических данных о средней цене топлива в районе выборки цена контракта определяется по средней цене поставщиков за последние 5 календарных дней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Если закупка не состоялась (п. 3 ч. 1 ст. 52 Закона № 44-ФЗ), допускается рассчитывать НМЦК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исходя из цен в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районе поставки (муниципалитет, Крайний Север и приравненные территории)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при условии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отклонения региональной и районной цены более  5%.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При пересчете цен на будущие периоды допускается использование композитного индекса инфляции.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Проект постановления находится на этапе общественного обсуждения, который завершится 17 апреля 2026 года.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https://regulation.gov.ru/projects/166891/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cs="PT Astra Serif"/>
          <w:b/>
          <w:bCs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Проект Постановления РФ № 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01/01/04-26/00166941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 «О внесении изменений в постановление Правительства Российской Федерации от 23 декабря 2024 г. № 1875»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редложено расширить перечень товаров, в отношении которых действуют ограничения на закупку иностранной продукции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В перечень товаров, на которые распространяется национальный режим, включены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строительные леса из черных металлов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, а также их элементы и конструкции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(опалубки, подпорные стенки, шахтные крепи, телескопические стойки, трубчатые леса и аналогичные изделия)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– ОКПД2 </w:t>
      </w:r>
      <w:r>
        <w:rPr>
          <w:rFonts w:ascii="PT Astra Serif" w:hAnsi="PT Astra Serif" w:eastAsia="PT Astra Serif" w:cs="PT Astra Serif"/>
          <w:color w:val="000000" w:themeColor="text1"/>
          <w:spacing w:val="10"/>
          <w:sz w:val="26"/>
          <w:szCs w:val="26"/>
          <w:highlight w:val="white"/>
        </w:rPr>
        <w:t xml:space="preserve">25.11.23.119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auto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Соответствующие позиции внесены в приложения № 1 и № 3 к постановлению.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Проект постановления находится на этапе общественного обсуждения, который завершится 18 апреля 2026 года.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https://regulation.gov.ru/projects/166941/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  <w:t xml:space="preserve">Постановление Девятого арбитражного апелляционного суда от 25.03.2026 </w:t>
        <w:br/>
        <w:t xml:space="preserve">№ 09АП-6460/2026 по делу № А40-124916/25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Заявитель: Учреждение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УФАС поступила жалоба Общества на действия Учреждения.  В жалобе Общество указало, что Учреждением неправомерно установл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ены ограничения на допуск товаров, происходящих из иностранных государств, согласно Постановлению № 1875, поскольку при установлении ограничений необходимо руководствоваться кодом ОКПД2 в приложении № 2 к Постановлению № 1875, а также наименованием товара.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УФАС признало жалобу обоснованной, выдало предписание Учреждению. Не согласившись с принятым решением и предписанием, Учреждение обратилось в арбитражный суд.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Суд установил, что объектом закупок являлись укладки для оказания скорой помощи. Учреждение посчитало, что товары, указанные в позиции 376 Приложения № 2 Постановления № 1875 по наименованию «Повязки и покрытия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раневые, пропитанные или покрытые лекарственными средствами; салфетки антисептические спиртовые; салфетки марлевые медицинские стерильные и нестерильные», сопоставляются в том числе с ОКПД2 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21.20.24.170 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– аптечки и сумки санитарные для оказания первой помощи.</w:t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Суд указал, что при разреш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ении вопроса о применении (неприменении) ограничений необходимо учитывать не только наличие (отсутствие) соответствующего кода ОКПД2 в приложении № 2 к Постановлению № 1875, но и наименования товаров, приведенных в приложении № 2 к Постановлению № 1875.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данном случае з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акупаемый товар «Аптечки и сумки санитарные для оказания первой помощи» отсутствует в наименовании перечня согласно приложению № 2 Постановления № 1875, что исключает обоснованность применения Учреждением ограничений, предусмотренных Постановлением № 1875.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Наличие в составе объекта закупок (укладки для оказания первой помощи) сред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и прочих многочисленных вложений (компонентов) повязок, покрытий и (или) салфеток, наименования которых указаны в позиции 376 приложения № 2 Постановления № 1875, не распространяет ограничения, предусмотренные данным постановлением, на весь объект закупки.</w:t>
      </w: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Суд первой инстанции в удовлетворении требований Учреждения отказал. Суд апелляционной инстанции поддержал решение суда первой инстанции.</w:t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bCs w:val="0"/>
          <w:i w:val="0"/>
          <w:color w:val="000000" w:themeColor="text1"/>
          <w:sz w:val="26"/>
          <w:szCs w:val="26"/>
          <w:highlight w:val="none"/>
          <w14:ligatures w14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Roboto">
    <w:panose1 w:val="02000000000000000000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jc w:val="center"/>
      <w:rPr>
        <w:rFonts w:ascii="PT Astra Serif" w:hAnsi="PT Astra Serif" w:cs="PT Astra Serif"/>
      </w:rPr>
    </w:pPr>
    <w:fldSimple w:instr="PAGE \* MERGEFORMAT">
      <w:r>
        <w:rPr>
          <w:rFonts w:ascii="PT Astra Serif" w:hAnsi="PT Astra Serif" w:eastAsia="PT Astra Serif" w:cs="PT Astra Serif"/>
        </w:rPr>
        <w:t xml:space="preserve">1</w:t>
      </w:r>
    </w:fldSimple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76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32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4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6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8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0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2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4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6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82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Roboto" w:hAnsi="Roboto" w:eastAsia="Roboto" w:cs="Roboto"/>
        <w:color w:val="1c1c21"/>
        <w:spacing w:val="1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0">
    <w:name w:val="Heading 1"/>
    <w:basedOn w:val="916"/>
    <w:next w:val="916"/>
    <w:link w:val="74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1">
    <w:name w:val="Heading 1 Char"/>
    <w:link w:val="74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2">
    <w:name w:val="Heading 2"/>
    <w:basedOn w:val="916"/>
    <w:next w:val="916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3">
    <w:name w:val="Heading 2 Char"/>
    <w:link w:val="742"/>
    <w:uiPriority w:val="9"/>
    <w:rPr>
      <w:rFonts w:ascii="Liberation Sans" w:hAnsi="Liberation Sans" w:eastAsia="Liberation Sans" w:cs="Liberation Sans"/>
      <w:sz w:val="34"/>
    </w:rPr>
  </w:style>
  <w:style w:type="paragraph" w:styleId="744">
    <w:name w:val="Heading 3"/>
    <w:basedOn w:val="916"/>
    <w:next w:val="916"/>
    <w:link w:val="74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5">
    <w:name w:val="Heading 3 Char"/>
    <w:link w:val="74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6">
    <w:name w:val="Heading 4"/>
    <w:basedOn w:val="916"/>
    <w:next w:val="916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7">
    <w:name w:val="Heading 4 Char"/>
    <w:link w:val="74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8">
    <w:name w:val="Heading 5"/>
    <w:basedOn w:val="916"/>
    <w:next w:val="916"/>
    <w:link w:val="74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9">
    <w:name w:val="Heading 5 Char"/>
    <w:link w:val="74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0">
    <w:name w:val="Heading 6"/>
    <w:basedOn w:val="916"/>
    <w:next w:val="916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1">
    <w:name w:val="Heading 6 Char"/>
    <w:link w:val="75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2">
    <w:name w:val="Heading 7"/>
    <w:basedOn w:val="916"/>
    <w:next w:val="916"/>
    <w:link w:val="75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3">
    <w:name w:val="Heading 7 Char"/>
    <w:link w:val="75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4">
    <w:name w:val="Heading 8"/>
    <w:basedOn w:val="916"/>
    <w:next w:val="916"/>
    <w:link w:val="75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5">
    <w:name w:val="Heading 8 Char"/>
    <w:link w:val="75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6">
    <w:name w:val="Heading 9"/>
    <w:basedOn w:val="916"/>
    <w:next w:val="916"/>
    <w:link w:val="75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7">
    <w:name w:val="Heading 9 Char"/>
    <w:link w:val="75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8">
    <w:name w:val="Title"/>
    <w:basedOn w:val="916"/>
    <w:next w:val="916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>
    <w:name w:val="Title Char"/>
    <w:link w:val="758"/>
    <w:uiPriority w:val="10"/>
    <w:rPr>
      <w:sz w:val="48"/>
      <w:szCs w:val="48"/>
    </w:rPr>
  </w:style>
  <w:style w:type="paragraph" w:styleId="760">
    <w:name w:val="Subtitle"/>
    <w:basedOn w:val="916"/>
    <w:next w:val="916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>
    <w:name w:val="Subtitle Char"/>
    <w:link w:val="760"/>
    <w:uiPriority w:val="11"/>
    <w:rPr>
      <w:sz w:val="24"/>
      <w:szCs w:val="24"/>
    </w:rPr>
  </w:style>
  <w:style w:type="paragraph" w:styleId="762">
    <w:name w:val="Quote"/>
    <w:basedOn w:val="916"/>
    <w:next w:val="916"/>
    <w:link w:val="763"/>
    <w:uiPriority w:val="29"/>
    <w:qFormat/>
    <w:pPr>
      <w:ind w:left="720" w:right="720"/>
    </w:pPr>
    <w:rPr>
      <w:i/>
    </w:rPr>
  </w:style>
  <w:style w:type="character" w:styleId="763">
    <w:name w:val="Quote Char"/>
    <w:link w:val="762"/>
    <w:uiPriority w:val="29"/>
    <w:rPr>
      <w:i/>
    </w:rPr>
  </w:style>
  <w:style w:type="paragraph" w:styleId="764">
    <w:name w:val="Intense Quote"/>
    <w:basedOn w:val="916"/>
    <w:next w:val="916"/>
    <w:link w:val="7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>
    <w:name w:val="Intense Quote Char"/>
    <w:link w:val="764"/>
    <w:uiPriority w:val="30"/>
    <w:rPr>
      <w:i/>
    </w:rPr>
  </w:style>
  <w:style w:type="paragraph" w:styleId="766">
    <w:name w:val="Header"/>
    <w:basedOn w:val="916"/>
    <w:link w:val="7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7">
    <w:name w:val="Header Char"/>
    <w:link w:val="766"/>
    <w:uiPriority w:val="99"/>
  </w:style>
  <w:style w:type="paragraph" w:styleId="768">
    <w:name w:val="Footer"/>
    <w:basedOn w:val="916"/>
    <w:link w:val="7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9">
    <w:name w:val="Footer Char"/>
    <w:link w:val="768"/>
    <w:uiPriority w:val="99"/>
  </w:style>
  <w:style w:type="paragraph" w:styleId="770">
    <w:name w:val="Caption"/>
    <w:basedOn w:val="916"/>
    <w:next w:val="916"/>
    <w:link w:val="7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link w:val="770"/>
    <w:uiPriority w:val="35"/>
    <w:rPr>
      <w:b/>
      <w:bCs/>
      <w:color w:val="4f81bd" w:themeColor="accent1"/>
      <w:sz w:val="18"/>
      <w:szCs w:val="18"/>
    </w:rPr>
  </w:style>
  <w:style w:type="table" w:styleId="772">
    <w:name w:val="Table Grid"/>
    <w:basedOn w:val="91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Table Grid Light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>
    <w:name w:val="Plain Table 1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5">
    <w:name w:val="Plain Table 2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>
    <w:name w:val="Plain Table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Plain Table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>
    <w:name w:val="Grid Table 1 Light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4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>
    <w:name w:val="Grid Table 4 - Accent 1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2">
    <w:name w:val="Grid Table 4 - Accent 2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Grid Table 4 - Accent 3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4">
    <w:name w:val="Grid Table 4 - Accent 4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Grid Table 4 - Accent 5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6">
    <w:name w:val="Grid Table 4 - Accent 6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7">
    <w:name w:val="Grid Table 5 Dark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14">
    <w:name w:val="Grid Table 6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5">
    <w:name w:val="Grid Table 6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6">
    <w:name w:val="Grid Table 6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7">
    <w:name w:val="Grid Table 6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8">
    <w:name w:val="Grid Table 6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9">
    <w:name w:val="Grid Table 6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0">
    <w:name w:val="Grid Table 6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1">
    <w:name w:val="Grid Table 7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6">
    <w:name w:val="List Table 2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7">
    <w:name w:val="List Table 2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8">
    <w:name w:val="List Table 2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9">
    <w:name w:val="List Table 2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0">
    <w:name w:val="List Table 2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1">
    <w:name w:val="List Table 2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2">
    <w:name w:val="List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5 Dark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5 Dark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5 Dark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1">
    <w:name w:val="List Table 5 Dark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2">
    <w:name w:val="List Table 5 Dark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3">
    <w:name w:val="List Table 6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4">
    <w:name w:val="List Table 6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5">
    <w:name w:val="List Table 6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6">
    <w:name w:val="List Table 6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7">
    <w:name w:val="List Table 6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8">
    <w:name w:val="List Table 6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9">
    <w:name w:val="List Table 6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0">
    <w:name w:val="List Table 7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1">
    <w:name w:val="List Table 7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72">
    <w:name w:val="List Table 7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73">
    <w:name w:val="List Table 7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74">
    <w:name w:val="List Table 7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75">
    <w:name w:val="List Table 7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76">
    <w:name w:val="List Table 7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7">
    <w:name w:val="Lined - Accent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Lined - Accent 1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9">
    <w:name w:val="Lined - Accent 2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0">
    <w:name w:val="Lined - Accent 3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1">
    <w:name w:val="Lined - Accent 4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2">
    <w:name w:val="Lined - Accent 5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3">
    <w:name w:val="Lined - Accent 6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4">
    <w:name w:val="Bordered &amp; Lined - Accent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Bordered &amp; Lined - Accent 1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6">
    <w:name w:val="Bordered &amp; Lined - Accent 2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7">
    <w:name w:val="Bordered &amp; Lined - Accent 3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8">
    <w:name w:val="Bordered &amp; Lined - Accent 4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9">
    <w:name w:val="Bordered &amp; Lined - Accent 5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0">
    <w:name w:val="Bordered &amp; Lined - Accent 6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1">
    <w:name w:val="Bordered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2">
    <w:name w:val="Bordered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3">
    <w:name w:val="Bordered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4">
    <w:name w:val="Bordered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5">
    <w:name w:val="Bordered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6">
    <w:name w:val="Bordered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7">
    <w:name w:val="Bordered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8">
    <w:name w:val="Hyperlink"/>
    <w:uiPriority w:val="99"/>
    <w:unhideWhenUsed/>
    <w:rPr>
      <w:color w:val="0000ff" w:themeColor="hyperlink"/>
      <w:u w:val="single"/>
    </w:rPr>
  </w:style>
  <w:style w:type="paragraph" w:styleId="899">
    <w:name w:val="footnote text"/>
    <w:basedOn w:val="916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>
    <w:name w:val="Footnote Text Char"/>
    <w:link w:val="899"/>
    <w:uiPriority w:val="99"/>
    <w:rPr>
      <w:sz w:val="18"/>
    </w:rPr>
  </w:style>
  <w:style w:type="character" w:styleId="901">
    <w:name w:val="footnote reference"/>
    <w:uiPriority w:val="99"/>
    <w:unhideWhenUsed/>
    <w:rPr>
      <w:vertAlign w:val="superscript"/>
    </w:rPr>
  </w:style>
  <w:style w:type="paragraph" w:styleId="902">
    <w:name w:val="endnote text"/>
    <w:basedOn w:val="916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>
    <w:name w:val="Endnote Text Char"/>
    <w:link w:val="902"/>
    <w:uiPriority w:val="99"/>
    <w:rPr>
      <w:sz w:val="20"/>
    </w:rPr>
  </w:style>
  <w:style w:type="character" w:styleId="904">
    <w:name w:val="endnote reference"/>
    <w:uiPriority w:val="99"/>
    <w:semiHidden/>
    <w:unhideWhenUsed/>
    <w:rPr>
      <w:vertAlign w:val="superscript"/>
    </w:rPr>
  </w:style>
  <w:style w:type="paragraph" w:styleId="905">
    <w:name w:val="toc 1"/>
    <w:basedOn w:val="916"/>
    <w:next w:val="916"/>
    <w:uiPriority w:val="39"/>
    <w:unhideWhenUsed/>
    <w:pPr>
      <w:ind w:left="0" w:right="0" w:firstLine="0"/>
      <w:spacing w:after="57"/>
    </w:pPr>
  </w:style>
  <w:style w:type="paragraph" w:styleId="906">
    <w:name w:val="toc 2"/>
    <w:basedOn w:val="916"/>
    <w:next w:val="916"/>
    <w:uiPriority w:val="39"/>
    <w:unhideWhenUsed/>
    <w:pPr>
      <w:ind w:left="283" w:right="0" w:firstLine="0"/>
      <w:spacing w:after="57"/>
    </w:pPr>
  </w:style>
  <w:style w:type="paragraph" w:styleId="907">
    <w:name w:val="toc 3"/>
    <w:basedOn w:val="916"/>
    <w:next w:val="916"/>
    <w:uiPriority w:val="39"/>
    <w:unhideWhenUsed/>
    <w:pPr>
      <w:ind w:left="567" w:right="0" w:firstLine="0"/>
      <w:spacing w:after="57"/>
    </w:pPr>
  </w:style>
  <w:style w:type="paragraph" w:styleId="908">
    <w:name w:val="toc 4"/>
    <w:basedOn w:val="916"/>
    <w:next w:val="916"/>
    <w:uiPriority w:val="39"/>
    <w:unhideWhenUsed/>
    <w:pPr>
      <w:ind w:left="850" w:right="0" w:firstLine="0"/>
      <w:spacing w:after="57"/>
    </w:pPr>
  </w:style>
  <w:style w:type="paragraph" w:styleId="909">
    <w:name w:val="toc 5"/>
    <w:basedOn w:val="916"/>
    <w:next w:val="916"/>
    <w:uiPriority w:val="39"/>
    <w:unhideWhenUsed/>
    <w:pPr>
      <w:ind w:left="1134" w:right="0" w:firstLine="0"/>
      <w:spacing w:after="57"/>
    </w:pPr>
  </w:style>
  <w:style w:type="paragraph" w:styleId="910">
    <w:name w:val="toc 6"/>
    <w:basedOn w:val="916"/>
    <w:next w:val="916"/>
    <w:uiPriority w:val="39"/>
    <w:unhideWhenUsed/>
    <w:pPr>
      <w:ind w:left="1417" w:right="0" w:firstLine="0"/>
      <w:spacing w:after="57"/>
    </w:pPr>
  </w:style>
  <w:style w:type="paragraph" w:styleId="911">
    <w:name w:val="toc 7"/>
    <w:basedOn w:val="916"/>
    <w:next w:val="916"/>
    <w:uiPriority w:val="39"/>
    <w:unhideWhenUsed/>
    <w:pPr>
      <w:ind w:left="1701" w:right="0" w:firstLine="0"/>
      <w:spacing w:after="57"/>
    </w:pPr>
  </w:style>
  <w:style w:type="paragraph" w:styleId="912">
    <w:name w:val="toc 8"/>
    <w:basedOn w:val="916"/>
    <w:next w:val="916"/>
    <w:uiPriority w:val="39"/>
    <w:unhideWhenUsed/>
    <w:pPr>
      <w:ind w:left="1984" w:right="0" w:firstLine="0"/>
      <w:spacing w:after="57"/>
    </w:pPr>
  </w:style>
  <w:style w:type="paragraph" w:styleId="913">
    <w:name w:val="toc 9"/>
    <w:basedOn w:val="916"/>
    <w:next w:val="916"/>
    <w:uiPriority w:val="39"/>
    <w:unhideWhenUsed/>
    <w:pPr>
      <w:ind w:left="2268" w:right="0" w:firstLine="0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916"/>
    <w:next w:val="916"/>
    <w:uiPriority w:val="99"/>
    <w:unhideWhenUsed/>
    <w:pPr>
      <w:spacing w:after="0" w:afterAutospacing="0"/>
    </w:pPr>
  </w:style>
  <w:style w:type="paragraph" w:styleId="916" w:default="1">
    <w:name w:val="Normal"/>
    <w:qFormat/>
  </w:style>
  <w:style w:type="table" w:styleId="9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8" w:default="1">
    <w:name w:val="No List"/>
    <w:uiPriority w:val="99"/>
    <w:semiHidden/>
    <w:unhideWhenUsed/>
  </w:style>
  <w:style w:type="paragraph" w:styleId="919">
    <w:name w:val="No Spacing"/>
    <w:basedOn w:val="916"/>
    <w:uiPriority w:val="1"/>
    <w:qFormat/>
    <w:pPr>
      <w:spacing w:after="0" w:line="240" w:lineRule="auto"/>
    </w:pPr>
  </w:style>
  <w:style w:type="paragraph" w:styleId="920">
    <w:name w:val="List Paragraph"/>
    <w:basedOn w:val="916"/>
    <w:uiPriority w:val="34"/>
    <w:qFormat/>
    <w:pPr>
      <w:contextualSpacing/>
      <w:ind w:left="720"/>
    </w:pPr>
  </w:style>
  <w:style w:type="character" w:styleId="921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vorogushina</cp:lastModifiedBy>
  <cp:revision>7</cp:revision>
  <dcterms:modified xsi:type="dcterms:W3CDTF">2026-04-13T08:09:56Z</dcterms:modified>
</cp:coreProperties>
</file>