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09"/>
        <w:jc w:val="both"/>
        <w:spacing w:after="120" w:line="240" w:lineRule="auto"/>
        <w:rPr>
          <w:rFonts w:ascii="PT Astra Serif" w:hAnsi="PT Astra Serif" w:cs="PT Astra Serif"/>
          <w:b/>
          <w:color w:val="000000" w:themeColor="text1"/>
          <w:sz w:val="24"/>
          <w:szCs w:val="24"/>
          <w:highlight w:val="none"/>
        </w:rPr>
      </w:pPr>
      <w:r>
        <w:rPr>
          <w:rFonts w:ascii="PT Astra Serif" w:hAnsi="PT Astra Serif" w:eastAsia="PT Astra Serif" w:cs="PT Astra Serif"/>
          <w:b/>
          <w:color w:val="000000" w:themeColor="text1"/>
          <w:sz w:val="24"/>
          <w:szCs w:val="24"/>
          <w:highlight w:val="none"/>
        </w:rPr>
        <w:t xml:space="preserve">МОНИТОРИНГ на 20.04.2026</w:t>
      </w:r>
      <w:r>
        <w:rPr>
          <w:rFonts w:ascii="PT Astra Serif" w:hAnsi="PT Astra Serif" w:cs="PT Astra Serif"/>
          <w:b/>
          <w:color w:val="000000" w:themeColor="text1"/>
          <w:sz w:val="24"/>
          <w:szCs w:val="24"/>
          <w:highlight w:val="none"/>
        </w:rPr>
      </w:r>
      <w:r>
        <w:rPr>
          <w:rFonts w:ascii="PT Astra Serif" w:hAnsi="PT Astra Serif" w:cs="PT Astra Serif"/>
          <w:b/>
          <w:color w:val="000000" w:themeColor="text1"/>
          <w:sz w:val="24"/>
          <w:szCs w:val="24"/>
          <w:highlight w:val="none"/>
        </w:rPr>
      </w:r>
    </w:p>
    <w:tbl>
      <w:tblPr>
        <w:tblStyle w:val="772"/>
        <w:tblW w:w="10064" w:type="dxa"/>
        <w:tblInd w:w="-6" w:type="dxa"/>
        <w:tblLayout w:type="fixed"/>
        <w:tblLook w:val="04A0" w:firstRow="1" w:lastRow="0" w:firstColumn="1" w:lastColumn="0" w:noHBand="0" w:noVBand="1"/>
      </w:tblPr>
      <w:tblGrid>
        <w:gridCol w:w="4683"/>
        <w:gridCol w:w="5381"/>
      </w:tblGrid>
      <w:tr>
        <w:tblPrEx/>
        <w:trPr>
          <w:trHeight w:val="164"/>
        </w:trPr>
        <w:tc>
          <w:tcPr>
            <w:gridSpan w:val="2"/>
            <w:tcW w:w="10064" w:type="dxa"/>
            <w:textDirection w:val="lrTb"/>
            <w:noWrap w:val="false"/>
          </w:tcPr>
          <w:p>
            <w:pPr>
              <w:pStyle w:val="920"/>
              <w:numPr>
                <w:ilvl w:val="0"/>
                <w:numId w:val="1"/>
              </w:numPr>
              <w:ind w:left="602" w:hanging="602"/>
              <w:jc w:val="both"/>
              <w:rPr>
                <w:rFonts w:ascii="PT Astra Serif" w:hAnsi="PT Astra Serif" w:cs="PT Astra Serif"/>
                <w:b/>
                <w:color w:val="000000" w:themeColor="text1"/>
                <w:sz w:val="26"/>
                <w:szCs w:val="26"/>
                <w:highlight w:val="none"/>
                <w:shd w:val="clear" w:color="auto" w:fill="ffffff"/>
              </w:rPr>
            </w:pPr>
            <w:r>
              <w:rPr>
                <w:rFonts w:ascii="PT Astra Serif" w:hAnsi="PT Astra Serif" w:eastAsia="PT Astra Serif" w:cs="PT Astra Serif"/>
                <w:b/>
                <w:color w:val="000000" w:themeColor="text1"/>
                <w:sz w:val="26"/>
                <w:szCs w:val="26"/>
                <w:highlight w:val="none"/>
                <w:shd w:val="clear" w:color="auto" w:fill="ffffff"/>
              </w:rPr>
              <w:t xml:space="preserve">Постановление Правительства Российской Федерации от 15.04.2026 № 416 «Об изменении существенных условий контракта, заключенных для обеспечения федеральных нужд, в связи с увеличением с 1 января 2026 г. в соответствии с законодательством Российской Федерации налоговой ставки по налогу на добавленную стоимость»</w:t>
            </w:r>
            <w:r>
              <w:rPr>
                <w:rFonts w:ascii="PT Astra Serif" w:hAnsi="PT Astra Serif" w:cs="PT Astra Serif"/>
                <w:b/>
                <w:color w:val="000000" w:themeColor="text1"/>
                <w:sz w:val="26"/>
                <w:szCs w:val="26"/>
                <w:highlight w:val="none"/>
                <w:shd w:val="clear" w:color="auto" w:fill="ffffff"/>
              </w:rPr>
            </w:r>
            <w:r>
              <w:rPr>
                <w:rFonts w:ascii="PT Astra Serif" w:hAnsi="PT Astra Serif" w:cs="PT Astra Serif"/>
                <w:b/>
                <w:color w:val="000000" w:themeColor="text1"/>
                <w:sz w:val="26"/>
                <w:szCs w:val="26"/>
                <w:highlight w:val="none"/>
                <w:shd w:val="clear" w:color="auto" w:fill="ffffff"/>
              </w:rPr>
            </w:r>
          </w:p>
        </w:tc>
      </w:tr>
      <w:tr>
        <w:tblPrEx/>
        <w:trPr>
          <w:trHeight w:val="164"/>
        </w:trPr>
        <w:tc>
          <w:tcPr>
            <w:gridSpan w:val="2"/>
            <w:tcW w:w="10064" w:type="dxa"/>
            <w:textDirection w:val="lrTb"/>
            <w:noWrap w:val="false"/>
          </w:tcPr>
          <w:p>
            <w:pPr>
              <w:ind w:left="567" w:right="0" w:firstLine="0"/>
              <w:shd w:val="nil" w:color="auto"/>
              <w:rPr>
                <w:rFonts w:ascii="PT Astra Serif" w:hAnsi="PT Astra Serif" w:cs="PT Astra Serif"/>
                <w:color w:val="000000" w:themeColor="text1"/>
                <w:sz w:val="26"/>
                <w:szCs w:val="26"/>
                <w:highlight w:val="none"/>
                <w14:ligatures w14:val="none"/>
              </w:rPr>
            </w:pPr>
            <w:r>
              <w:rPr>
                <w:rFonts w:ascii="PT Astra Serif" w:hAnsi="PT Astra Serif" w:eastAsia="PT Astra Serif" w:cs="PT Astra Serif"/>
                <w:color w:val="000000" w:themeColor="text1"/>
                <w:sz w:val="26"/>
                <w:szCs w:val="26"/>
                <w:highlight w:val="none"/>
              </w:rPr>
              <w:t xml:space="preserve">Правительством РФ разрешено менять существенные условия контрактов в связи с увеличением ставки НДС</w:t>
            </w:r>
            <w:r>
              <w:rPr>
                <w:rFonts w:ascii="PT Astra Serif" w:hAnsi="PT Astra Serif" w:cs="PT Astra Serif"/>
                <w:color w:val="000000" w:themeColor="text1"/>
                <w:sz w:val="26"/>
                <w:szCs w:val="26"/>
                <w:highlight w:val="none"/>
                <w14:ligatures w14:val="none"/>
              </w:rPr>
            </w:r>
            <w:r>
              <w:rPr>
                <w:rFonts w:ascii="PT Astra Serif" w:hAnsi="PT Astra Serif" w:cs="PT Astra Serif"/>
                <w:color w:val="000000" w:themeColor="text1"/>
                <w:sz w:val="26"/>
                <w:szCs w:val="26"/>
                <w:highlight w:val="none"/>
                <w14:ligatures w14:val="none"/>
              </w:rPr>
            </w:r>
          </w:p>
        </w:tc>
      </w:tr>
      <w:tr>
        <w:tblPrEx/>
        <w:trPr>
          <w:trHeight w:val="164"/>
        </w:trPr>
        <w:tc>
          <w:tcPr>
            <w:gridSpan w:val="2"/>
            <w:tcW w:w="10064" w:type="dxa"/>
            <w:vMerge w:val="restart"/>
            <w:textDirection w:val="lrTb"/>
            <w:noWrap w:val="false"/>
          </w:tcPr>
          <w:p>
            <w:pPr>
              <w:pStyle w:val="920"/>
              <w:numPr>
                <w:ilvl w:val="0"/>
                <w:numId w:val="4"/>
              </w:numPr>
              <w:ind w:left="567" w:right="0" w:hanging="567"/>
              <w:jc w:val="both"/>
              <w:shd w:val="nil" w:color="000000"/>
              <w:rPr>
                <w:rFonts w:ascii="PT Astra Serif" w:hAnsi="PT Astra Serif" w:cs="PT Astra Serif"/>
                <w:b/>
                <w:bCs/>
                <w:color w:val="000000" w:themeColor="text1"/>
                <w:spacing w:val="2"/>
                <w:sz w:val="26"/>
                <w:szCs w:val="26"/>
                <w:highlight w:val="none"/>
              </w:rPr>
            </w:pPr>
            <w:r>
              <w:rPr>
                <w:rFonts w:ascii="PT Astra Serif" w:hAnsi="PT Astra Serif" w:eastAsia="PT Astra Serif" w:cs="PT Astra Serif"/>
                <w:b/>
                <w:bCs/>
                <w:color w:val="000000" w:themeColor="text1"/>
                <w:sz w:val="26"/>
                <w:szCs w:val="26"/>
                <w:highlight w:val="none"/>
              </w:rPr>
              <w:t xml:space="preserve">Письмо Минпромторга России от 09.04.2026 № 37479/12</w:t>
            </w:r>
            <w:r>
              <w:rPr>
                <w:rFonts w:ascii="PT Astra Serif" w:hAnsi="PT Astra Serif" w:cs="PT Astra Serif"/>
                <w:b/>
                <w:bCs/>
                <w:color w:val="000000" w:themeColor="text1"/>
                <w:spacing w:val="2"/>
                <w:sz w:val="26"/>
                <w:szCs w:val="26"/>
                <w:highlight w:val="none"/>
              </w:rPr>
            </w:r>
            <w:r>
              <w:rPr>
                <w:rFonts w:ascii="PT Astra Serif" w:hAnsi="PT Astra Serif" w:cs="PT Astra Serif"/>
                <w:b/>
                <w:bCs/>
                <w:color w:val="000000" w:themeColor="text1"/>
                <w:spacing w:val="2"/>
                <w:sz w:val="26"/>
                <w:szCs w:val="26"/>
                <w:highlight w:val="none"/>
              </w:rPr>
            </w:r>
          </w:p>
        </w:tc>
      </w:tr>
      <w:tr>
        <w:tblPrEx/>
        <w:trPr>
          <w:trHeight w:val="164"/>
        </w:trPr>
        <w:tc>
          <w:tcPr>
            <w:gridSpan w:val="2"/>
            <w:tcW w:w="10064" w:type="dxa"/>
            <w:vMerge w:val="restart"/>
            <w:textDirection w:val="lrTb"/>
            <w:noWrap w:val="false"/>
          </w:tcPr>
          <w:p>
            <w:pPr>
              <w:contextualSpacing w:val="0"/>
              <w:ind w:left="567" w:right="0" w:firstLine="0"/>
              <w:jc w:val="both"/>
              <w:shd w:val="nil" w:color="000000"/>
              <w:rPr>
                <w:rFonts w:ascii="PT Astra Serif" w:hAnsi="PT Astra Serif" w:cs="PT Astra Serif"/>
                <w:color w:val="000000" w:themeColor="text1"/>
                <w:sz w:val="26"/>
                <w:szCs w:val="26"/>
                <w:highlight w:val="none"/>
                <w14:ligatures w14:val="none"/>
              </w:rPr>
              <w:suppressLineNumbers w:val="0"/>
            </w:pPr>
            <w:r>
              <w:rPr>
                <w:rFonts w:ascii="PT Astra Serif" w:hAnsi="PT Astra Serif" w:eastAsia="PT Astra Serif" w:cs="PT Astra Serif"/>
                <w:color w:val="000000" w:themeColor="text1"/>
                <w:spacing w:val="10"/>
                <w:sz w:val="26"/>
                <w:szCs w:val="26"/>
                <w:highlight w:val="none"/>
              </w:rPr>
            </w:r>
            <w:r>
              <w:rPr>
                <w:rFonts w:ascii="PT Astra Serif" w:hAnsi="PT Astra Serif" w:eastAsia="PT Astra Serif" w:cs="PT Astra Serif"/>
                <w:sz w:val="26"/>
                <w:szCs w:val="26"/>
                <w:highlight w:val="none"/>
              </w:rPr>
              <w:t xml:space="preserve">Минпромторг России разъяснил порядок применения положений постановления Правительства РФ № 1875 в части использования реестровых записей из реестра российской промышленной продукции</w:t>
            </w:r>
            <w:r>
              <w:rPr>
                <w:rFonts w:ascii="PT Astra Serif" w:hAnsi="PT Astra Serif" w:eastAsia="PT Astra Serif" w:cs="PT Astra Serif"/>
                <w:sz w:val="26"/>
                <w:szCs w:val="26"/>
                <w:highlight w:val="none"/>
              </w:rPr>
            </w:r>
            <w:r>
              <w:rPr>
                <w:rFonts w:ascii="PT Astra Serif" w:hAnsi="PT Astra Serif" w:eastAsia="PT Astra Serif" w:cs="PT Astra Serif"/>
                <w:color w:val="000000" w:themeColor="text1"/>
                <w:spacing w:val="10"/>
                <w:sz w:val="26"/>
                <w:szCs w:val="26"/>
                <w:highlight w:val="none"/>
              </w:rPr>
            </w:r>
            <w:r>
              <w:rPr>
                <w:rFonts w:ascii="PT Astra Serif" w:hAnsi="PT Astra Serif" w:eastAsia="PT Astra Serif" w:cs="PT Astra Serif"/>
                <w:color w:val="000000" w:themeColor="text1"/>
                <w:spacing w:val="10"/>
                <w:sz w:val="26"/>
                <w:szCs w:val="26"/>
                <w:highlight w:val="none"/>
              </w:rPr>
            </w:r>
            <w:r>
              <w:rPr>
                <w:rFonts w:ascii="PT Astra Serif" w:hAnsi="PT Astra Serif" w:eastAsia="PT Astra Serif" w:cs="PT Astra Serif"/>
                <w:color w:val="000000" w:themeColor="text1"/>
                <w:spacing w:val="10"/>
                <w:sz w:val="26"/>
                <w:szCs w:val="26"/>
                <w:highlight w:val="none"/>
                <w14:ligatures w14:val="none"/>
              </w:rPr>
            </w:r>
            <w:r>
              <w:rPr>
                <w:rFonts w:ascii="PT Astra Serif" w:hAnsi="PT Astra Serif" w:cs="PT Astra Serif"/>
                <w:color w:val="000000" w:themeColor="text1"/>
                <w:sz w:val="26"/>
                <w:szCs w:val="26"/>
                <w:highlight w:val="none"/>
                <w14:ligatures w14:val="none"/>
              </w:rPr>
            </w:r>
          </w:p>
        </w:tc>
      </w:tr>
      <w:tr>
        <w:tblPrEx/>
        <w:trPr>
          <w:trHeight w:val="164"/>
        </w:trPr>
        <w:tc>
          <w:tcPr>
            <w:gridSpan w:val="2"/>
            <w:tcW w:w="10064" w:type="dxa"/>
            <w:vMerge w:val="restart"/>
            <w:textDirection w:val="lrTb"/>
            <w:noWrap w:val="false"/>
          </w:tcPr>
          <w:p>
            <w:pPr>
              <w:pStyle w:val="920"/>
              <w:numPr>
                <w:ilvl w:val="0"/>
                <w:numId w:val="10"/>
              </w:numPr>
              <w:ind w:left="567" w:right="0" w:hanging="567"/>
              <w:jc w:val="both"/>
              <w:shd w:val="nil" w:color="auto"/>
              <w:rPr>
                <w:rFonts w:ascii="PT Astra Serif" w:hAnsi="PT Astra Serif" w:cs="PT Astra Serif"/>
                <w:b/>
                <w:bCs/>
                <w:color w:val="000000" w:themeColor="text1"/>
                <w:sz w:val="26"/>
                <w:szCs w:val="26"/>
                <w:highlight w:val="none"/>
                <w14:ligatures w14:val="none"/>
              </w:rPr>
            </w:pPr>
            <w:r>
              <w:rPr>
                <w:rFonts w:ascii="PT Astra Serif" w:hAnsi="PT Astra Serif" w:eastAsia="PT Astra Serif" w:cs="PT Astra Serif"/>
                <w:b/>
                <w:bCs/>
                <w:color w:val="000000" w:themeColor="text1"/>
                <w:sz w:val="26"/>
                <w:szCs w:val="26"/>
                <w:highlight w:val="none"/>
              </w:rPr>
              <w:t xml:space="preserve">Письмо Минфина России от 10.04.2026 № 24-06-06/30055</w:t>
            </w:r>
            <w:r>
              <w:rPr>
                <w:rFonts w:ascii="PT Astra Serif" w:hAnsi="PT Astra Serif" w:cs="PT Astra Serif"/>
                <w:b/>
                <w:bCs/>
                <w:color w:val="000000" w:themeColor="text1"/>
                <w:sz w:val="26"/>
                <w:szCs w:val="26"/>
                <w:highlight w:val="none"/>
                <w14:ligatures w14:val="none"/>
              </w:rPr>
            </w:r>
            <w:r>
              <w:rPr>
                <w:rFonts w:ascii="PT Astra Serif" w:hAnsi="PT Astra Serif" w:cs="PT Astra Serif"/>
                <w:b/>
                <w:bCs/>
                <w:color w:val="000000" w:themeColor="text1"/>
                <w:sz w:val="26"/>
                <w:szCs w:val="26"/>
                <w:highlight w:val="none"/>
                <w14:ligatures w14:val="none"/>
              </w:rPr>
            </w:r>
          </w:p>
        </w:tc>
      </w:tr>
      <w:tr>
        <w:tblPrEx/>
        <w:trPr>
          <w:trHeight w:val="164"/>
        </w:trPr>
        <w:tc>
          <w:tcPr>
            <w:gridSpan w:val="2"/>
            <w:tcW w:w="10064" w:type="dxa"/>
            <w:vMerge w:val="restart"/>
            <w:textDirection w:val="lrTb"/>
            <w:noWrap w:val="false"/>
          </w:tcPr>
          <w:p>
            <w:pPr>
              <w:ind w:left="567" w:right="0" w:firstLine="0"/>
              <w:jc w:val="both"/>
              <w:shd w:val="nil"/>
              <w:rPr>
                <w:rFonts w:ascii="PT Astra Serif" w:hAnsi="PT Astra Serif" w:cs="PT Astra Serif"/>
                <w:sz w:val="26"/>
                <w:szCs w:val="26"/>
                <w:highlight w:val="none"/>
                <w14:ligatures w14:val="none"/>
              </w:rPr>
            </w:pPr>
            <w:r>
              <w:rPr>
                <w:rFonts w:ascii="PT Astra Serif" w:hAnsi="PT Astra Serif" w:eastAsia="PT Astra Serif" w:cs="PT Astra Serif"/>
                <w:sz w:val="26"/>
                <w:szCs w:val="26"/>
                <w:highlight w:val="none"/>
              </w:rPr>
            </w:r>
            <w:r>
              <w:rPr>
                <w:rFonts w:ascii="PT Astra Serif" w:hAnsi="PT Astra Serif" w:eastAsia="PT Astra Serif" w:cs="PT Astra Serif"/>
                <w:sz w:val="26"/>
                <w:szCs w:val="26"/>
                <w:highlight w:val="none"/>
              </w:rPr>
              <w:t xml:space="preserve">Минфин России разъяснил возможность перераспределения стоимости работ и учета фактических объемов при исполнении контрактов на проектно-изыскательские работы</w:t>
            </w:r>
            <w:r>
              <w:rPr>
                <w:rFonts w:ascii="PT Astra Serif" w:hAnsi="PT Astra Serif" w:eastAsia="PT Astra Serif" w:cs="PT Astra Serif"/>
                <w:sz w:val="26"/>
                <w:szCs w:val="26"/>
                <w:highlight w:val="none"/>
              </w:rPr>
            </w:r>
            <w:r>
              <w:rPr>
                <w:rFonts w:ascii="PT Astra Serif" w:hAnsi="PT Astra Serif" w:eastAsia="PT Astra Serif" w:cs="PT Astra Serif"/>
                <w:sz w:val="26"/>
                <w:szCs w:val="26"/>
                <w:highlight w:val="none"/>
                <w14:ligatures w14:val="none"/>
              </w:rPr>
            </w:r>
          </w:p>
        </w:tc>
      </w:tr>
      <w:tr>
        <w:tblPrEx/>
        <w:trPr>
          <w:trHeight w:val="164"/>
        </w:trPr>
        <w:tc>
          <w:tcPr>
            <w:gridSpan w:val="2"/>
            <w:tcW w:w="10064" w:type="dxa"/>
            <w:vMerge w:val="restart"/>
            <w:textDirection w:val="lrTb"/>
            <w:noWrap w:val="false"/>
          </w:tcPr>
          <w:p>
            <w:pPr>
              <w:pStyle w:val="920"/>
              <w:numPr>
                <w:ilvl w:val="0"/>
                <w:numId w:val="3"/>
              </w:numPr>
              <w:ind w:left="567" w:right="0" w:hanging="567"/>
              <w:jc w:val="both"/>
              <w:shd w:val="nil" w:color="000000"/>
              <w:rPr>
                <w:rFonts w:ascii="PT Astra Serif" w:hAnsi="PT Astra Serif" w:eastAsia="PT Astra Serif" w:cs="PT Astra Serif"/>
                <w:b/>
                <w:bCs/>
                <w:color w:val="000000" w:themeColor="text1"/>
                <w:sz w:val="26"/>
                <w:szCs w:val="26"/>
                <w:highlight w:val="none"/>
              </w:rPr>
            </w:pPr>
            <w:r>
              <w:rPr>
                <w:rFonts w:ascii="PT Astra Serif" w:hAnsi="PT Astra Serif" w:eastAsia="PT Astra Serif" w:cs="PT Astra Serif"/>
                <w:b/>
                <w:bCs/>
                <w:color w:val="000000" w:themeColor="text1"/>
                <w:sz w:val="26"/>
                <w:szCs w:val="26"/>
                <w:highlight w:val="none"/>
              </w:rPr>
              <w:t xml:space="preserve">Судебная и административная практика</w:t>
            </w:r>
            <w:r>
              <w:rPr>
                <w:rFonts w:ascii="PT Astra Serif" w:hAnsi="PT Astra Serif" w:eastAsia="PT Astra Serif" w:cs="PT Astra Serif"/>
                <w:b/>
                <w:bCs/>
                <w:color w:val="000000" w:themeColor="text1"/>
                <w:sz w:val="26"/>
                <w:szCs w:val="26"/>
                <w:highlight w:val="none"/>
              </w:rPr>
            </w:r>
            <w:r>
              <w:rPr>
                <w:rFonts w:ascii="PT Astra Serif" w:hAnsi="PT Astra Serif" w:eastAsia="PT Astra Serif" w:cs="PT Astra Serif"/>
                <w:b/>
                <w:bCs/>
                <w:color w:val="000000" w:themeColor="text1"/>
                <w:sz w:val="26"/>
                <w:szCs w:val="26"/>
                <w:highlight w:val="none"/>
              </w:rPr>
            </w:r>
          </w:p>
        </w:tc>
      </w:tr>
      <w:tr>
        <w:tblPrEx/>
        <w:trPr>
          <w:trHeight w:val="164"/>
        </w:trPr>
        <w:tc>
          <w:tcPr>
            <w:tcW w:w="4683" w:type="dxa"/>
            <w:vMerge w:val="restart"/>
            <w:textDirection w:val="lrTb"/>
            <w:noWrap w:val="false"/>
          </w:tcPr>
          <w:p>
            <w:pPr>
              <w:jc w:val="both"/>
              <w:rPr>
                <w:rFonts w:ascii="PT Astra Serif" w:hAnsi="PT Astra Serif"/>
                <w:bCs/>
                <w:i/>
                <w:color w:val="000000" w:themeColor="text1"/>
                <w:sz w:val="26"/>
                <w:szCs w:val="26"/>
                <w:highlight w:val="none"/>
              </w:rPr>
            </w:pPr>
            <w:r>
              <w:rPr>
                <w:rFonts w:ascii="PT Astra Serif" w:hAnsi="PT Astra Serif"/>
                <w:i/>
                <w:color w:val="000000" w:themeColor="text1"/>
                <w:sz w:val="26"/>
                <w:szCs w:val="26"/>
                <w:highlight w:val="none"/>
              </w:rPr>
              <w:t xml:space="preserve">Постановление Арбитражного суда Северо-Кавказского округа от 31.03.2026 по делу № А32-15157/2025</w:t>
            </w:r>
            <w:r>
              <w:rPr>
                <w:rFonts w:ascii="PT Astra Serif" w:hAnsi="PT Astra Serif"/>
                <w:bCs/>
                <w:i/>
                <w:color w:val="000000" w:themeColor="text1"/>
                <w:sz w:val="26"/>
                <w:szCs w:val="26"/>
                <w:highlight w:val="none"/>
              </w:rPr>
            </w:r>
          </w:p>
          <w:p>
            <w:pPr>
              <w:jc w:val="both"/>
              <w:rPr>
                <w:rFonts w:ascii="PT Astra Serif" w:hAnsi="PT Astra Serif"/>
                <w:bCs/>
                <w:i/>
                <w:color w:val="000000" w:themeColor="text1"/>
                <w:sz w:val="26"/>
                <w:szCs w:val="26"/>
                <w:highlight w:val="yellow"/>
              </w:rPr>
            </w:pPr>
            <w:r>
              <w:rPr>
                <w:rFonts w:ascii="PT Astra Serif" w:hAnsi="PT Astra Serif"/>
                <w:i/>
                <w:color w:val="000000" w:themeColor="text1"/>
                <w:sz w:val="26"/>
                <w:szCs w:val="26"/>
                <w:highlight w:val="yellow"/>
              </w:rPr>
            </w:r>
            <w:r>
              <w:rPr>
                <w:rFonts w:ascii="PT Astra Serif" w:hAnsi="PT Astra Serif"/>
                <w:bCs/>
                <w:i/>
                <w:color w:val="000000" w:themeColor="text1"/>
                <w:sz w:val="26"/>
                <w:szCs w:val="26"/>
                <w:highlight w:val="yellow"/>
              </w:rPr>
            </w:r>
            <w:r>
              <w:rPr>
                <w:rFonts w:ascii="PT Astra Serif" w:hAnsi="PT Astra Serif"/>
                <w:bCs/>
                <w:i/>
                <w:color w:val="000000" w:themeColor="text1"/>
                <w:sz w:val="26"/>
                <w:szCs w:val="26"/>
                <w:highlight w:val="yellow"/>
              </w:rPr>
            </w:r>
          </w:p>
        </w:tc>
        <w:tc>
          <w:tcPr>
            <w:tcW w:w="5381" w:type="dxa"/>
            <w:vMerge w:val="restart"/>
            <w:textDirection w:val="lrTb"/>
            <w:noWrap w:val="false"/>
          </w:tcPr>
          <w:p>
            <w:pPr>
              <w:jc w:val="both"/>
              <w:shd w:val="nil"/>
              <w:rPr>
                <w:rFonts w:ascii="PT Astra Serif" w:hAnsi="PT Astra Serif" w:cs="PT Astra Serif"/>
                <w:sz w:val="26"/>
                <w:szCs w:val="26"/>
                <w:highlight w:val="yellow"/>
                <w14:ligatures w14:val="none"/>
              </w:rPr>
            </w:pPr>
            <w:r>
              <w:rPr>
                <w:rFonts w:ascii="PT Astra Serif" w:hAnsi="PT Astra Serif" w:eastAsia="PT Astra Serif" w:cs="PT Astra Serif"/>
                <w:sz w:val="26"/>
                <w:szCs w:val="26"/>
                <w:highlight w:val="none"/>
              </w:rPr>
            </w:r>
            <w:r>
              <w:rPr>
                <w:rFonts w:ascii="PT Astra Serif" w:hAnsi="PT Astra Serif" w:eastAsia="PT Astra Serif" w:cs="PT Astra Serif"/>
                <w:sz w:val="26"/>
                <w:szCs w:val="26"/>
                <w:highlight w:val="white"/>
              </w:rPr>
              <w:t xml:space="preserve">Ф</w:t>
            </w:r>
            <w:r>
              <w:rPr>
                <w:rFonts w:ascii="PT Astra Serif" w:hAnsi="PT Astra Serif" w:eastAsia="PT Astra Serif" w:cs="PT Astra Serif"/>
                <w:sz w:val="26"/>
                <w:szCs w:val="26"/>
                <w:highlight w:val="white"/>
              </w:rPr>
              <w:t xml:space="preserve">ормальные ошибки в реквизитах контракта не свидетельствуют о подложности контракта при оценке опыта</w:t>
            </w:r>
            <w:r>
              <w:rPr>
                <w:rFonts w:ascii="PT Astra Serif" w:hAnsi="PT Astra Serif" w:eastAsia="PT Astra Serif" w:cs="PT Astra Serif"/>
                <w:sz w:val="26"/>
                <w:szCs w:val="26"/>
                <w:highlight w:val="white"/>
              </w:rPr>
              <w:t xml:space="preserve"> </w:t>
            </w:r>
            <w:r>
              <w:rPr>
                <w:rFonts w:ascii="PT Astra Serif" w:hAnsi="PT Astra Serif" w:eastAsia="PT Astra Serif" w:cs="PT Astra Serif"/>
                <w:sz w:val="26"/>
                <w:szCs w:val="26"/>
                <w:highlight w:val="white"/>
              </w:rPr>
              <w:t xml:space="preserve">у</w:t>
            </w:r>
            <w:r>
              <w:rPr>
                <w:rFonts w:ascii="PT Astra Serif" w:hAnsi="PT Astra Serif" w:eastAsia="PT Astra Serif" w:cs="PT Astra Serif"/>
                <w:sz w:val="26"/>
                <w:szCs w:val="26"/>
                <w:highlight w:val="white"/>
              </w:rPr>
              <w:t xml:space="preserve">ч</w:t>
            </w:r>
            <w:r>
              <w:rPr>
                <w:rFonts w:ascii="PT Astra Serif" w:hAnsi="PT Astra Serif" w:eastAsia="PT Astra Serif" w:cs="PT Astra Serif"/>
                <w:sz w:val="26"/>
                <w:szCs w:val="26"/>
                <w:highlight w:val="white"/>
              </w:rPr>
              <w:t xml:space="preserve">а</w:t>
            </w:r>
            <w:r>
              <w:rPr>
                <w:rFonts w:ascii="PT Astra Serif" w:hAnsi="PT Astra Serif" w:eastAsia="PT Astra Serif" w:cs="PT Astra Serif"/>
                <w:sz w:val="26"/>
                <w:szCs w:val="26"/>
                <w:highlight w:val="white"/>
              </w:rPr>
              <w:t xml:space="preserve">с</w:t>
            </w:r>
            <w:r>
              <w:rPr>
                <w:rFonts w:ascii="PT Astra Serif" w:hAnsi="PT Astra Serif" w:eastAsia="PT Astra Serif" w:cs="PT Astra Serif"/>
                <w:sz w:val="26"/>
                <w:szCs w:val="26"/>
                <w:highlight w:val="white"/>
              </w:rPr>
              <w:t xml:space="preserve">т</w:t>
            </w:r>
            <w:r>
              <w:rPr>
                <w:rFonts w:ascii="PT Astra Serif" w:hAnsi="PT Astra Serif" w:eastAsia="PT Astra Serif" w:cs="PT Astra Serif"/>
                <w:sz w:val="26"/>
                <w:szCs w:val="26"/>
                <w:highlight w:val="white"/>
              </w:rPr>
              <w:t xml:space="preserve">н</w:t>
            </w:r>
            <w:r>
              <w:rPr>
                <w:rFonts w:ascii="PT Astra Serif" w:hAnsi="PT Astra Serif" w:eastAsia="PT Astra Serif" w:cs="PT Astra Serif"/>
                <w:sz w:val="26"/>
                <w:szCs w:val="26"/>
                <w:highlight w:val="white"/>
              </w:rPr>
              <w:t xml:space="preserve">и</w:t>
            </w:r>
            <w:r>
              <w:rPr>
                <w:rFonts w:ascii="PT Astra Serif" w:hAnsi="PT Astra Serif" w:eastAsia="PT Astra Serif" w:cs="PT Astra Serif"/>
                <w:sz w:val="26"/>
                <w:szCs w:val="26"/>
                <w:highlight w:val="white"/>
              </w:rPr>
              <w:t xml:space="preserve">к</w:t>
            </w:r>
            <w:r>
              <w:rPr>
                <w:rFonts w:ascii="PT Astra Serif" w:hAnsi="PT Astra Serif" w:eastAsia="PT Astra Serif" w:cs="PT Astra Serif"/>
                <w:sz w:val="26"/>
                <w:szCs w:val="26"/>
                <w:highlight w:val="white"/>
              </w:rPr>
              <w:t xml:space="preserve">а</w:t>
            </w:r>
            <w:r>
              <w:rPr>
                <w:rFonts w:ascii="PT Astra Serif" w:hAnsi="PT Astra Serif" w:eastAsia="PT Astra Serif" w:cs="PT Astra Serif"/>
                <w:sz w:val="26"/>
                <w:szCs w:val="26"/>
                <w:highlight w:val="white"/>
              </w:rPr>
              <w:t xml:space="preserve"> </w:t>
            </w:r>
            <w:r>
              <w:rPr>
                <w:rFonts w:ascii="PT Astra Serif" w:hAnsi="PT Astra Serif" w:eastAsia="PT Astra Serif" w:cs="PT Astra Serif"/>
                <w:sz w:val="26"/>
                <w:szCs w:val="26"/>
                <w:highlight w:val="white"/>
              </w:rPr>
              <w:t xml:space="preserve">з</w:t>
            </w:r>
            <w:r>
              <w:rPr>
                <w:rFonts w:ascii="PT Astra Serif" w:hAnsi="PT Astra Serif" w:eastAsia="PT Astra Serif" w:cs="PT Astra Serif"/>
                <w:sz w:val="26"/>
                <w:szCs w:val="26"/>
                <w:highlight w:val="white"/>
              </w:rPr>
              <w:t xml:space="preserve">а</w:t>
            </w:r>
            <w:r>
              <w:rPr>
                <w:rFonts w:ascii="PT Astra Serif" w:hAnsi="PT Astra Serif" w:eastAsia="PT Astra Serif" w:cs="PT Astra Serif"/>
                <w:sz w:val="26"/>
                <w:szCs w:val="26"/>
                <w:highlight w:val="white"/>
              </w:rPr>
              <w:t xml:space="preserve">к</w:t>
            </w:r>
            <w:r>
              <w:rPr>
                <w:rFonts w:ascii="PT Astra Serif" w:hAnsi="PT Astra Serif" w:eastAsia="PT Astra Serif" w:cs="PT Astra Serif"/>
                <w:sz w:val="26"/>
                <w:szCs w:val="26"/>
                <w:highlight w:val="white"/>
              </w:rPr>
              <w:t xml:space="preserve">у</w:t>
            </w:r>
            <w:r>
              <w:rPr>
                <w:rFonts w:ascii="PT Astra Serif" w:hAnsi="PT Astra Serif" w:eastAsia="PT Astra Serif" w:cs="PT Astra Serif"/>
                <w:sz w:val="26"/>
                <w:szCs w:val="26"/>
                <w:highlight w:val="white"/>
              </w:rPr>
              <w:t xml:space="preserve">п</w:t>
            </w:r>
            <w:r>
              <w:rPr>
                <w:rFonts w:ascii="PT Astra Serif" w:hAnsi="PT Astra Serif" w:eastAsia="PT Astra Serif" w:cs="PT Astra Serif"/>
                <w:sz w:val="26"/>
                <w:szCs w:val="26"/>
                <w:highlight w:val="white"/>
              </w:rPr>
              <w:t xml:space="preserve">к</w:t>
            </w:r>
            <w:r>
              <w:rPr>
                <w:rFonts w:ascii="PT Astra Serif" w:hAnsi="PT Astra Serif" w:eastAsia="PT Astra Serif" w:cs="PT Astra Serif"/>
                <w:sz w:val="26"/>
                <w:szCs w:val="26"/>
                <w:highlight w:val="white"/>
              </w:rPr>
              <w:t xml:space="preserve">и</w:t>
            </w:r>
            <w:r>
              <w:rPr>
                <w:rFonts w:ascii="PT Astra Serif" w:hAnsi="PT Astra Serif" w:eastAsia="PT Astra Serif" w:cs="PT Astra Serif"/>
                <w:sz w:val="26"/>
                <w:szCs w:val="26"/>
                <w:highlight w:val="none"/>
              </w:rPr>
            </w:r>
            <w:r>
              <w:rPr>
                <w:rFonts w:ascii="PT Astra Serif" w:hAnsi="PT Astra Serif" w:eastAsia="PT Astra Serif" w:cs="PT Astra Serif"/>
                <w:color w:val="000000" w:themeColor="text1"/>
                <w:sz w:val="26"/>
                <w:szCs w:val="26"/>
                <w:highlight w:val="yellow"/>
                <w:lang w:eastAsia="en-US"/>
              </w:rPr>
            </w:r>
            <w:r>
              <w:rPr>
                <w:rFonts w:ascii="PT Astra Serif" w:hAnsi="PT Astra Serif" w:eastAsia="PT Astra Serif" w:cs="PT Astra Serif"/>
                <w:color w:val="000000" w:themeColor="text1"/>
                <w:sz w:val="26"/>
                <w:szCs w:val="26"/>
                <w:highlight w:val="none"/>
                <w14:ligatures w14:val="none"/>
              </w:rPr>
            </w:r>
            <w:r>
              <w:rPr>
                <w:rFonts w:ascii="PT Astra Serif" w:hAnsi="PT Astra Serif" w:cs="PT Astra Serif"/>
                <w:sz w:val="26"/>
                <w:szCs w:val="26"/>
                <w:highlight w:val="yellow"/>
                <w14:ligatures w14:val="none"/>
              </w:rPr>
            </w:r>
          </w:p>
        </w:tc>
      </w:tr>
      <w:tr>
        <w:tblPrEx/>
        <w:trPr>
          <w:trHeight w:val="164"/>
        </w:trPr>
        <w:tc>
          <w:tcPr>
            <w:tcW w:w="4683" w:type="dxa"/>
            <w:vMerge w:val="restart"/>
            <w:textDirection w:val="lrTb"/>
            <w:noWrap w:val="false"/>
          </w:tcPr>
          <w:p>
            <w:pPr>
              <w:jc w:val="both"/>
              <w:rPr>
                <w:rFonts w:ascii="PT Astra Serif" w:hAnsi="PT Astra Serif"/>
                <w:i/>
                <w:color w:val="000000" w:themeColor="text1"/>
                <w:sz w:val="26"/>
                <w:szCs w:val="26"/>
                <w:highlight w:val="none"/>
              </w:rPr>
            </w:pPr>
            <w:r>
              <w:rPr>
                <w:rFonts w:ascii="PT Astra Serif" w:hAnsi="PT Astra Serif"/>
                <w:i/>
                <w:color w:val="000000" w:themeColor="text1"/>
                <w:sz w:val="26"/>
                <w:szCs w:val="26"/>
                <w:highlight w:val="none"/>
              </w:rPr>
              <w:t xml:space="preserve">Решение Северо-Осетинского УФАС России от 06.03.2026 по делу № А59-03/26 (015/06/106-146/2026) </w:t>
            </w:r>
            <w:r>
              <w:rPr>
                <w:rFonts w:ascii="PT Astra Serif" w:hAnsi="PT Astra Serif"/>
                <w:i/>
                <w:color w:val="000000" w:themeColor="text1"/>
                <w:sz w:val="26"/>
                <w:szCs w:val="26"/>
                <w:highlight w:val="none"/>
              </w:rPr>
            </w:r>
          </w:p>
        </w:tc>
        <w:tc>
          <w:tcPr>
            <w:tcW w:w="5381" w:type="dxa"/>
            <w:vMerge w:val="restart"/>
            <w:textDirection w:val="lrTb"/>
            <w:noWrap w:val="false"/>
          </w:tcPr>
          <w:p>
            <w:pPr>
              <w:jc w:val="both"/>
              <w:shd w:val="nil" w:color="000000"/>
              <w:tabs>
                <w:tab w:val="left" w:pos="1473" w:leader="none"/>
              </w:tabs>
              <w:rPr>
                <w:rFonts w:ascii="PT Astra Serif" w:hAnsi="PT Astra Serif" w:eastAsia="PT Astra Serif" w:cs="PT Astra Serif"/>
                <w:sz w:val="26"/>
                <w:szCs w:val="26"/>
                <w:highlight w:val="none"/>
              </w:rPr>
            </w:pPr>
            <w:r>
              <w:rPr>
                <w:rFonts w:ascii="PT Astra Serif" w:hAnsi="PT Astra Serif" w:eastAsia="PT Astra Serif" w:cs="PT Astra Serif"/>
                <w:sz w:val="26"/>
                <w:szCs w:val="26"/>
                <w:highlight w:val="none"/>
              </w:rPr>
            </w:r>
            <w:r>
              <w:rPr>
                <w:rFonts w:ascii="PT Astra Serif" w:hAnsi="PT Astra Serif" w:eastAsia="PT Astra Serif" w:cs="PT Astra Serif"/>
                <w:sz w:val="26"/>
                <w:szCs w:val="26"/>
                <w:highlight w:val="white"/>
              </w:rPr>
              <w:t xml:space="preserve">Неуказание в составе второй части заявки адреса сайта или страницы сайта с информацией и документами, подтверждающими соответствие участника закупки требованиям п. 1 ч. 1 ст. 31 Закона </w:t>
              <w:br/>
              <w:t xml:space="preserve">№ 44-ФЗ, является основанием для отклонения з</w:t>
            </w:r>
            <w:r>
              <w:rPr>
                <w:rFonts w:ascii="PT Astra Serif" w:hAnsi="PT Astra Serif" w:eastAsia="PT Astra Serif" w:cs="PT Astra Serif"/>
                <w:sz w:val="26"/>
                <w:szCs w:val="26"/>
                <w:highlight w:val="white"/>
              </w:rPr>
              <w:t xml:space="preserve">аявки</w:t>
            </w:r>
            <w:r>
              <w:rPr>
                <w:rFonts w:ascii="PT Astra Serif" w:hAnsi="PT Astra Serif" w:eastAsia="PT Astra Serif" w:cs="PT Astra Serif"/>
                <w:sz w:val="26"/>
                <w:szCs w:val="26"/>
                <w:highlight w:val="white"/>
              </w:rPr>
            </w:r>
            <w:r>
              <w:rPr>
                <w:rFonts w:ascii="Liberation Sans" w:hAnsi="Liberation Sans" w:eastAsia="Liberation Sans" w:cs="Liberation Sans"/>
                <w:color w:val="000000"/>
                <w:sz w:val="24"/>
                <w:highlight w:val="white"/>
              </w:rPr>
              <w:tab/>
            </w:r>
            <w:r>
              <w:rPr>
                <w:rFonts w:ascii="PT Astra Serif" w:hAnsi="PT Astra Serif" w:eastAsia="PT Astra Serif" w:cs="PT Astra Serif"/>
                <w:sz w:val="26"/>
                <w:szCs w:val="26"/>
                <w:highlight w:val="none"/>
              </w:rPr>
            </w:r>
          </w:p>
        </w:tc>
      </w:tr>
    </w:tbl>
    <w:p>
      <w:pPr>
        <w:jc w:val="both"/>
        <w:spacing w:after="0" w:line="240" w:lineRule="auto"/>
        <w:rPr>
          <w:rFonts w:ascii="PT Astra Serif" w:hAnsi="PT Astra Serif" w:cs="PT Astra Serif"/>
          <w:i/>
          <w:color w:val="000000" w:themeColor="text1"/>
          <w:sz w:val="26"/>
          <w:szCs w:val="26"/>
          <w:highlight w:val="yellow"/>
        </w:rPr>
      </w:pPr>
      <w:r>
        <w:rPr>
          <w:rFonts w:ascii="PT Astra Serif" w:hAnsi="PT Astra Serif" w:eastAsia="PT Astra Serif" w:cs="PT Astra Serif"/>
          <w:i/>
          <w:color w:val="000000" w:themeColor="text1"/>
          <w:sz w:val="26"/>
          <w:szCs w:val="26"/>
          <w:highlight w:val="yellow"/>
        </w:rPr>
      </w:r>
      <w:r>
        <w:rPr>
          <w:rFonts w:ascii="PT Astra Serif" w:hAnsi="PT Astra Serif" w:cs="PT Astra Serif"/>
          <w:i/>
          <w:color w:val="000000" w:themeColor="text1"/>
          <w:sz w:val="26"/>
          <w:szCs w:val="26"/>
          <w:highlight w:val="yellow"/>
        </w:rPr>
      </w:r>
      <w:r>
        <w:rPr>
          <w:rFonts w:ascii="PT Astra Serif" w:hAnsi="PT Astra Serif" w:cs="PT Astra Serif"/>
          <w:i/>
          <w:color w:val="000000" w:themeColor="text1"/>
          <w:sz w:val="26"/>
          <w:szCs w:val="26"/>
          <w:highlight w:val="yellow"/>
        </w:rPr>
      </w:r>
    </w:p>
    <w:p>
      <w:pPr>
        <w:ind w:firstLine="709"/>
        <w:jc w:val="both"/>
        <w:spacing w:after="0" w:line="240" w:lineRule="auto"/>
        <w:rPr>
          <w:rFonts w:ascii="PT Astra Serif" w:hAnsi="PT Astra Serif" w:eastAsia="PT Astra Serif" w:cs="PT Astra Serif"/>
          <w:bCs/>
          <w:i/>
          <w:color w:val="000000" w:themeColor="text1"/>
          <w:sz w:val="26"/>
          <w:szCs w:val="26"/>
          <w:highlight w:val="yellow"/>
        </w:rPr>
      </w:pPr>
      <w:r>
        <w:rPr>
          <w:rFonts w:ascii="PT Astra Serif" w:hAnsi="PT Astra Serif" w:eastAsia="PT Astra Serif" w:cs="PT Astra Serif"/>
          <w:i/>
          <w:color w:val="000000" w:themeColor="text1"/>
          <w:sz w:val="26"/>
          <w:szCs w:val="26"/>
          <w:highlight w:val="none"/>
        </w:rPr>
        <w:t xml:space="preserve">Постановление Правительства Российской Федерации от 15.04.2026 № 416 «Об изменении существенных условий контракта, заключенных для обеспечения федеральных нужд, в связи с увеличением с 1 января 2026 г. в соответствии с законодательством Российской Федерации налоговой ставки по налогу на добавленную стоимость»</w:t>
      </w:r>
      <w:r>
        <w:rPr>
          <w:rFonts w:ascii="PT Astra Serif" w:hAnsi="PT Astra Serif" w:eastAsia="PT Astra Serif" w:cs="PT Astra Serif"/>
          <w:i/>
          <w:color w:val="000000" w:themeColor="text1"/>
          <w:sz w:val="26"/>
          <w:szCs w:val="26"/>
          <w:highlight w:val="yellow"/>
        </w:rPr>
        <w:t xml:space="preserve">  </w:t>
      </w:r>
      <w:r>
        <w:rPr>
          <w:rFonts w:ascii="PT Astra Serif" w:hAnsi="PT Astra Serif" w:eastAsia="PT Astra Serif" w:cs="PT Astra Serif"/>
          <w:bCs/>
          <w:i/>
          <w:color w:val="000000" w:themeColor="text1"/>
          <w:sz w:val="26"/>
          <w:szCs w:val="26"/>
          <w:highlight w:val="none"/>
        </w:rPr>
      </w:r>
    </w:p>
    <w:p>
      <w:pPr>
        <w:ind w:firstLine="709"/>
        <w:jc w:val="both"/>
        <w:spacing w:after="0" w:line="240" w:lineRule="auto"/>
        <w:rPr>
          <w:rFonts w:ascii="PT Astra Serif" w:hAnsi="PT Astra Serif" w:eastAsia="PT Astra Serif" w:cs="PT Astra Serif"/>
          <w:color w:val="000000" w:themeColor="text1"/>
          <w:sz w:val="26"/>
          <w:szCs w:val="26"/>
          <w:highlight w:val="none"/>
        </w:rPr>
      </w:pPr>
      <w:r>
        <w:rPr>
          <w:rFonts w:ascii="PT Astra Serif" w:hAnsi="PT Astra Serif" w:eastAsia="PT Astra Serif" w:cs="PT Astra Serif"/>
          <w:i/>
          <w:color w:val="000000" w:themeColor="text1"/>
          <w:sz w:val="26"/>
          <w:szCs w:val="26"/>
          <w:highlight w:val="yellow"/>
        </w:rPr>
      </w:r>
      <w:r>
        <w:rPr>
          <w:rFonts w:ascii="PT Astra Serif" w:hAnsi="PT Astra Serif" w:eastAsia="PT Astra Serif" w:cs="PT Astra Serif"/>
          <w:color w:val="000000" w:themeColor="text1"/>
          <w:sz w:val="26"/>
          <w:szCs w:val="26"/>
          <w:highlight w:val="none"/>
        </w:rPr>
        <w:t xml:space="preserve">Правительством РФ разрешено менять существенные условия контрактов в связи с увеличением ставки НДС</w:t>
      </w:r>
      <w:r>
        <w:rPr>
          <w:rFonts w:ascii="PT Astra Serif" w:hAnsi="PT Astra Serif" w:eastAsia="PT Astra Serif" w:cs="PT Astra Serif"/>
          <w:color w:val="000000" w:themeColor="text1"/>
          <w:sz w:val="26"/>
          <w:szCs w:val="26"/>
          <w:highlight w:val="none"/>
        </w:rPr>
        <w:t xml:space="preserve">.</w:t>
      </w:r>
      <w:r>
        <w:rPr>
          <w:rFonts w:ascii="PT Astra Serif" w:hAnsi="PT Astra Serif" w:eastAsia="PT Astra Serif" w:cs="PT Astra Serif"/>
          <w:color w:val="000000" w:themeColor="text1"/>
          <w:sz w:val="26"/>
          <w:szCs w:val="26"/>
          <w:highlight w:val="none"/>
        </w:rPr>
      </w:r>
    </w:p>
    <w:p>
      <w:pPr>
        <w:ind w:firstLine="709"/>
        <w:jc w:val="both"/>
        <w:spacing w:after="0" w:line="240" w:lineRule="auto"/>
        <w:rPr>
          <w:rFonts w:ascii="PT Astra Serif" w:hAnsi="PT Astra Serif" w:cs="PT Astra Serif"/>
          <w:sz w:val="26"/>
          <w:szCs w:val="26"/>
          <w:highlight w:val="white"/>
        </w:rPr>
      </w:pPr>
      <w:r>
        <w:rPr>
          <w:rFonts w:ascii="PT Astra Serif" w:hAnsi="PT Astra Serif" w:eastAsia="PT Astra Serif" w:cs="PT Astra Serif"/>
          <w:color w:val="000000" w:themeColor="text1"/>
          <w:sz w:val="26"/>
          <w:szCs w:val="26"/>
          <w:highlight w:val="none"/>
        </w:rPr>
      </w:r>
      <w:r>
        <w:rPr>
          <w:rFonts w:ascii="PT Astra Serif" w:hAnsi="PT Astra Serif" w:eastAsia="PT Astra Serif" w:cs="PT Astra Serif"/>
          <w:sz w:val="26"/>
          <w:szCs w:val="26"/>
          <w:highlight w:val="white"/>
        </w:rPr>
        <w:t xml:space="preserve">С</w:t>
      </w:r>
      <w:r>
        <w:rPr>
          <w:rFonts w:ascii="PT Astra Serif" w:hAnsi="PT Astra Serif" w:eastAsia="PT Astra Serif" w:cs="PT Astra Serif"/>
          <w:sz w:val="26"/>
          <w:szCs w:val="26"/>
          <w:highlight w:val="white"/>
        </w:rPr>
        <w:t xml:space="preserve">тороны вправе по соглашению сторон до 1 октября 2026 года изменить существенные условия контрактов, заключенных до 1 января 2026 года, если при их исполнении возникли обстоятельства, влекущие невозможность исполнения контрактов, не зависящие от сторон и связанные с увеличением ставки НДС с 2026 года</w:t>
      </w:r>
      <w:r>
        <w:rPr>
          <w:rFonts w:ascii="PT Astra Serif" w:hAnsi="PT Astra Serif" w:eastAsia="PT Astra Serif" w:cs="PT Astra Serif"/>
          <w:sz w:val="26"/>
          <w:szCs w:val="26"/>
          <w:highlight w:val="white"/>
        </w:rPr>
        <w:t xml:space="preserve">.</w:t>
      </w:r>
      <w:r>
        <w:rPr>
          <w:rFonts w:ascii="PT Astra Serif" w:hAnsi="PT Astra Serif" w:eastAsia="PT Astra Serif" w:cs="PT Astra Serif"/>
          <w:sz w:val="26"/>
          <w:szCs w:val="26"/>
          <w:highlight w:val="none"/>
        </w:rPr>
      </w:r>
    </w:p>
    <w:p>
      <w:pPr>
        <w:ind w:firstLine="709"/>
        <w:jc w:val="both"/>
        <w:spacing w:after="0" w:line="240" w:lineRule="auto"/>
        <w:rPr>
          <w:rFonts w:ascii="PT Astra Serif" w:hAnsi="PT Astra Serif" w:cs="PT Astra Serif"/>
          <w:sz w:val="26"/>
          <w:szCs w:val="26"/>
          <w:highlight w:val="none"/>
        </w:rPr>
      </w:pPr>
      <w:r>
        <w:rPr>
          <w:rFonts w:ascii="PT Astra Serif" w:hAnsi="PT Astra Serif" w:eastAsia="PT Astra Serif" w:cs="PT Astra Serif"/>
          <w:sz w:val="26"/>
          <w:szCs w:val="26"/>
          <w:highlight w:val="white"/>
        </w:rPr>
      </w:r>
      <w:r>
        <w:rPr>
          <w:rFonts w:ascii="PT Astra Serif" w:hAnsi="PT Astra Serif" w:eastAsia="PT Astra Serif" w:cs="PT Astra Serif"/>
          <w:sz w:val="26"/>
          <w:szCs w:val="26"/>
        </w:rPr>
        <w:t xml:space="preserve">Допускается изменение цен контрактов в пределах увеличения налоговой ставки по НДС, а </w:t>
      </w:r>
      <w:r>
        <w:rPr>
          <w:rFonts w:ascii="PT Astra Serif" w:hAnsi="PT Astra Serif" w:eastAsia="PT Astra Serif" w:cs="PT Astra Serif"/>
          <w:sz w:val="26"/>
          <w:szCs w:val="26"/>
        </w:rPr>
        <w:t xml:space="preserve">также объемов и видов выполняемых работ, если это не приводит к увеличению цены контракта.</w:t>
      </w:r>
      <w:r>
        <w:rPr>
          <w:rFonts w:ascii="PT Astra Serif" w:hAnsi="PT Astra Serif" w:eastAsia="PT Astra Serif" w:cs="PT Astra Serif"/>
          <w:sz w:val="26"/>
          <w:szCs w:val="26"/>
          <w:highlight w:val="none"/>
        </w:rPr>
      </w:r>
      <w:r>
        <w:rPr>
          <w:rFonts w:ascii="PT Astra Serif" w:hAnsi="PT Astra Serif" w:eastAsia="PT Astra Serif" w:cs="PT Astra Serif"/>
          <w:sz w:val="26"/>
          <w:szCs w:val="26"/>
        </w:rPr>
      </w:r>
    </w:p>
    <w:p>
      <w:pPr>
        <w:ind w:firstLine="709"/>
        <w:jc w:val="both"/>
        <w:spacing w:after="0" w:line="240" w:lineRule="auto"/>
        <w:rPr>
          <w:rFonts w:ascii="PT Astra Serif" w:hAnsi="PT Astra Serif" w:eastAsia="PT Astra Serif" w:cs="PT Astra Serif"/>
          <w:sz w:val="26"/>
          <w:szCs w:val="26"/>
          <w:highlight w:val="none"/>
        </w:rPr>
      </w:pPr>
      <w:r>
        <w:rPr>
          <w:rFonts w:ascii="PT Astra Serif" w:hAnsi="PT Astra Serif" w:eastAsia="PT Astra Serif" w:cs="PT Astra Serif"/>
          <w:sz w:val="26"/>
          <w:szCs w:val="26"/>
          <w:highlight w:val="white"/>
        </w:rPr>
      </w:r>
      <w:r>
        <w:rPr>
          <w:rFonts w:ascii="PT Astra Serif" w:hAnsi="PT Astra Serif" w:eastAsia="PT Astra Serif" w:cs="PT Astra Serif"/>
          <w:sz w:val="26"/>
          <w:szCs w:val="26"/>
          <w:highlight w:val="none"/>
        </w:rPr>
        <w:t xml:space="preserve">Постановление распространяется на контракты, связанные с проведением инженерных изысканий и проектирования, строительством, реконструкцией, капитальным ремонтом, сносом объектов капитального строительства, а также на работы по благоустройству территории и проведению работ по сохранению объектов культурного наследи</w:t>
      </w:r>
      <w:r>
        <w:rPr>
          <w:rFonts w:ascii="PT Astra Serif" w:hAnsi="PT Astra Serif" w:eastAsia="PT Astra Serif" w:cs="PT Astra Serif"/>
          <w:sz w:val="26"/>
          <w:szCs w:val="26"/>
          <w:highlight w:val="none"/>
        </w:rPr>
        <w:t xml:space="preserve">я.</w:t>
      </w:r>
      <w:r>
        <w:rPr>
          <w:rFonts w:ascii="PT Astra Serif" w:hAnsi="PT Astra Serif" w:eastAsia="PT Astra Serif" w:cs="PT Astra Serif"/>
          <w:sz w:val="26"/>
          <w:szCs w:val="26"/>
          <w:highlight w:val="none"/>
        </w:rPr>
        <w:t xml:space="preserve"> </w:t>
      </w:r>
      <w:r>
        <w:rPr>
          <w:rFonts w:ascii="PT Astra Serif" w:hAnsi="PT Astra Serif" w:eastAsia="PT Astra Serif" w:cs="PT Astra Serif"/>
          <w:sz w:val="26"/>
          <w:szCs w:val="26"/>
        </w:rPr>
      </w:r>
    </w:p>
    <w:p>
      <w:pPr>
        <w:ind w:firstLine="709"/>
        <w:jc w:val="both"/>
        <w:spacing w:after="0" w:line="240" w:lineRule="auto"/>
        <w:rPr>
          <w:rFonts w:ascii="PT Astra Serif" w:hAnsi="PT Astra Serif" w:cs="PT Astra Serif"/>
          <w:color w:val="000000" w:themeColor="text1"/>
          <w:sz w:val="26"/>
          <w:szCs w:val="26"/>
          <w:highlight w:val="none"/>
        </w:rPr>
      </w:pPr>
      <w:r>
        <w:rPr>
          <w:rFonts w:ascii="PT Astra Serif" w:hAnsi="PT Astra Serif" w:cs="PT Astra Serif"/>
          <w:color w:val="000000" w:themeColor="text1"/>
          <w:sz w:val="26"/>
          <w:szCs w:val="26"/>
          <w:highlight w:val="none"/>
        </w:rPr>
      </w:r>
      <w:r>
        <w:rPr>
          <w:rFonts w:ascii="PT Astra Serif" w:hAnsi="PT Astra Serif" w:cs="PT Astra Serif"/>
          <w:color w:val="000000" w:themeColor="text1"/>
          <w:sz w:val="26"/>
          <w:szCs w:val="26"/>
          <w:highlight w:val="none"/>
        </w:rPr>
      </w:r>
    </w:p>
    <w:p>
      <w:pPr>
        <w:ind w:firstLine="709"/>
        <w:jc w:val="both"/>
        <w:spacing w:after="0" w:line="240" w:lineRule="auto"/>
        <w:rPr>
          <w:rFonts w:ascii="PT Astra Serif" w:hAnsi="PT Astra Serif" w:eastAsia="PT Astra Serif" w:cs="PT Astra Serif"/>
          <w:bCs/>
          <w:i/>
          <w:sz w:val="26"/>
          <w:szCs w:val="26"/>
          <w:highlight w:val="none"/>
        </w:rPr>
      </w:pPr>
      <w:r>
        <w:rPr>
          <w:rFonts w:ascii="PT Astra Serif" w:hAnsi="PT Astra Serif" w:eastAsia="PT Astra Serif" w:cs="PT Astra Serif"/>
          <w:i/>
          <w:iCs/>
          <w:sz w:val="26"/>
          <w:szCs w:val="26"/>
          <w:highlight w:val="none"/>
        </w:rPr>
        <w:t xml:space="preserve">Письмо Минпромторга России от 09.04.2026 № 37479/12 «О предоставлении информации»</w:t>
      </w:r>
      <w:r>
        <w:rPr>
          <w:rFonts w:ascii="PT Astra Serif" w:hAnsi="PT Astra Serif" w:eastAsia="PT Astra Serif" w:cs="PT Astra Serif"/>
          <w:bCs/>
          <w:i/>
          <w:sz w:val="26"/>
          <w:szCs w:val="26"/>
          <w:highlight w:val="none"/>
        </w:rPr>
      </w:r>
    </w:p>
    <w:p>
      <w:pPr>
        <w:ind w:firstLine="709"/>
        <w:jc w:val="both"/>
        <w:spacing w:after="0" w:line="240" w:lineRule="auto"/>
        <w:rPr>
          <w:rFonts w:ascii="PT Astra Serif" w:hAnsi="PT Astra Serif" w:eastAsia="PT Astra Serif" w:cs="PT Astra Serif"/>
          <w:sz w:val="26"/>
          <w:szCs w:val="26"/>
          <w:highlight w:val="white"/>
        </w:rPr>
      </w:pPr>
      <w:r>
        <w:rPr>
          <w:rFonts w:ascii="PT Astra Serif" w:hAnsi="PT Astra Serif" w:eastAsia="PT Astra Serif" w:cs="PT Astra Serif"/>
          <w:i/>
          <w:iCs/>
          <w:sz w:val="26"/>
          <w:szCs w:val="26"/>
          <w:highlight w:val="none"/>
        </w:rPr>
      </w:r>
      <w:r>
        <w:rPr>
          <w:rFonts w:ascii="PT Astra Serif" w:hAnsi="PT Astra Serif" w:eastAsia="PT Astra Serif" w:cs="PT Astra Serif"/>
          <w:sz w:val="26"/>
          <w:szCs w:val="26"/>
          <w:highlight w:val="white"/>
        </w:rPr>
        <w:t xml:space="preserve">Минпромторг России разъяснил порядок применения положений постановления Правительства РФ № 1875 в части использования реестровых записей из реестра российской промышленной продукции</w:t>
      </w:r>
      <w:r>
        <w:rPr>
          <w:rFonts w:ascii="PT Astra Serif" w:hAnsi="PT Astra Serif" w:eastAsia="PT Astra Serif" w:cs="PT Astra Serif"/>
          <w:sz w:val="26"/>
          <w:szCs w:val="26"/>
          <w:highlight w:val="white"/>
        </w:rPr>
        <w:t xml:space="preserve">.</w:t>
      </w:r>
      <w:r>
        <w:rPr>
          <w:rFonts w:ascii="PT Astra Serif" w:hAnsi="PT Astra Serif" w:eastAsia="PT Astra Serif" w:cs="PT Astra Serif"/>
          <w:bCs/>
          <w:i/>
          <w:sz w:val="26"/>
          <w:szCs w:val="26"/>
          <w:highlight w:val="none"/>
        </w:rPr>
      </w:r>
    </w:p>
    <w:p>
      <w:pPr>
        <w:ind w:firstLine="709"/>
        <w:jc w:val="both"/>
        <w:spacing w:after="0" w:line="240" w:lineRule="auto"/>
        <w:rPr>
          <w:rFonts w:ascii="PT Astra Serif" w:hAnsi="PT Astra Serif" w:eastAsia="PT Astra Serif" w:cs="PT Astra Serif"/>
          <w:sz w:val="26"/>
          <w:szCs w:val="26"/>
        </w:rPr>
      </w:pPr>
      <w:r>
        <w:rPr>
          <w:rFonts w:ascii="PT Astra Serif" w:hAnsi="PT Astra Serif" w:eastAsia="PT Astra Serif" w:cs="PT Astra Serif"/>
          <w:sz w:val="26"/>
          <w:szCs w:val="26"/>
          <w:highlight w:val="white"/>
        </w:rPr>
      </w:r>
      <w:r>
        <w:rPr>
          <w:rFonts w:ascii="PT Astra Serif" w:hAnsi="PT Astra Serif" w:eastAsia="PT Astra Serif" w:cs="PT Astra Serif"/>
          <w:sz w:val="26"/>
          <w:szCs w:val="26"/>
        </w:rPr>
        <w:t xml:space="preserve">1. Подпунктом «а» пункта 3 постановления № 1875 определено, что в целях подтверждения происхождения товаров из Российской Федерации для реализации положений постановления № 1875 в том числе используется номер реестровой записи из реестра российской промышл</w:t>
      </w:r>
      <w:r>
        <w:rPr>
          <w:rFonts w:ascii="PT Astra Serif" w:hAnsi="PT Astra Serif" w:eastAsia="PT Astra Serif" w:cs="PT Astra Serif"/>
          <w:sz w:val="26"/>
          <w:szCs w:val="26"/>
        </w:rPr>
        <w:t xml:space="preserve">енной продукции, предусмотренного статьей 171 Федерального закона от 31 декабря 2014 г. № 488-ФЗ «О промышленной политике в Российской Федерации» (далее соответственно – реестр, реестровая запись). </w:t>
      </w:r>
      <w:r>
        <w:rPr>
          <w:rFonts w:ascii="PT Astra Serif" w:hAnsi="PT Astra Serif" w:eastAsia="PT Astra Serif" w:cs="PT Astra Serif"/>
          <w:bCs/>
          <w:i/>
          <w:sz w:val="26"/>
          <w:szCs w:val="26"/>
          <w:highlight w:val="none"/>
        </w:rPr>
      </w:r>
    </w:p>
    <w:p>
      <w:pPr>
        <w:ind w:firstLine="709"/>
        <w:jc w:val="both"/>
        <w:spacing w:after="0" w:line="240" w:lineRule="auto"/>
        <w:rPr>
          <w:rFonts w:ascii="PT Astra Serif" w:hAnsi="PT Astra Serif" w:eastAsia="PT Astra Serif" w:cs="PT Astra Serif"/>
          <w:sz w:val="26"/>
          <w:szCs w:val="26"/>
        </w:rPr>
      </w:pPr>
      <w:r>
        <w:rPr>
          <w:rFonts w:ascii="PT Astra Serif" w:hAnsi="PT Astra Serif" w:eastAsia="PT Astra Serif" w:cs="PT Astra Serif"/>
          <w:sz w:val="26"/>
          <w:szCs w:val="26"/>
        </w:rPr>
        <w:t xml:space="preserve">Таким образом, реестровая запись подтверждает исключительн</w:t>
      </w:r>
      <w:r>
        <w:rPr>
          <w:rFonts w:ascii="PT Astra Serif" w:hAnsi="PT Astra Serif" w:eastAsia="PT Astra Serif" w:cs="PT Astra Serif"/>
          <w:sz w:val="26"/>
          <w:szCs w:val="26"/>
        </w:rPr>
        <w:t xml:space="preserve">о страну происхождения товара. </w:t>
      </w:r>
      <w:r>
        <w:rPr>
          <w:rFonts w:ascii="PT Astra Serif" w:hAnsi="PT Astra Serif" w:eastAsia="PT Astra Serif" w:cs="PT Astra Serif"/>
          <w:bCs/>
          <w:i/>
          <w:sz w:val="26"/>
          <w:szCs w:val="26"/>
          <w:highlight w:val="none"/>
        </w:rPr>
      </w:r>
    </w:p>
    <w:p>
      <w:pPr>
        <w:ind w:firstLine="709"/>
        <w:jc w:val="both"/>
        <w:spacing w:after="0" w:line="240" w:lineRule="auto"/>
        <w:rPr>
          <w:rFonts w:ascii="PT Astra Serif" w:hAnsi="PT Astra Serif" w:eastAsia="PT Astra Serif" w:cs="PT Astra Serif"/>
          <w:sz w:val="26"/>
          <w:szCs w:val="26"/>
        </w:rPr>
      </w:pPr>
      <w:r>
        <w:rPr>
          <w:rFonts w:ascii="PT Astra Serif" w:hAnsi="PT Astra Serif" w:eastAsia="PT Astra Serif" w:cs="PT Astra Serif"/>
          <w:sz w:val="26"/>
          <w:szCs w:val="26"/>
        </w:rPr>
        <w:t xml:space="preserve">2. По вопросу влияния несоответствия характеристик товара в предоставленной участником закупки реестровой записи на подтверждение происхождения товаров стоит отметить, что реестр не содержит характеристик промышленной п</w:t>
      </w:r>
      <w:r>
        <w:rPr>
          <w:rFonts w:ascii="PT Astra Serif" w:hAnsi="PT Astra Serif" w:eastAsia="PT Astra Serif" w:cs="PT Astra Serif"/>
          <w:sz w:val="26"/>
          <w:szCs w:val="26"/>
        </w:rPr>
        <w:t xml:space="preserve">родукции.</w:t>
      </w:r>
      <w:r>
        <w:rPr>
          <w:rFonts w:ascii="PT Astra Serif" w:hAnsi="PT Astra Serif" w:eastAsia="PT Astra Serif" w:cs="PT Astra Serif"/>
          <w:sz w:val="26"/>
          <w:szCs w:val="26"/>
        </w:rPr>
        <w:t xml:space="preserve"> </w:t>
      </w:r>
      <w:r>
        <w:rPr>
          <w:rFonts w:ascii="PT Astra Serif" w:hAnsi="PT Astra Serif" w:eastAsia="PT Astra Serif" w:cs="PT Astra Serif"/>
          <w:sz w:val="26"/>
          <w:szCs w:val="26"/>
        </w:rPr>
      </w:r>
      <w:r>
        <w:rPr>
          <w:rFonts w:ascii="PT Astra Serif" w:hAnsi="PT Astra Serif" w:eastAsia="PT Astra Serif" w:cs="PT Astra Serif"/>
          <w:bCs/>
          <w:i/>
          <w:sz w:val="26"/>
          <w:szCs w:val="26"/>
          <w:highlight w:val="none"/>
        </w:rPr>
      </w:r>
    </w:p>
    <w:p>
      <w:pPr>
        <w:ind w:firstLine="709"/>
        <w:jc w:val="both"/>
        <w:spacing w:after="0" w:line="240" w:lineRule="auto"/>
        <w:rPr>
          <w:rFonts w:ascii="PT Astra Serif" w:hAnsi="PT Astra Serif" w:eastAsia="PT Astra Serif" w:cs="PT Astra Serif"/>
          <w:sz w:val="26"/>
          <w:szCs w:val="26"/>
        </w:rPr>
      </w:pPr>
      <w:r>
        <w:rPr>
          <w:rFonts w:ascii="PT Astra Serif" w:hAnsi="PT Astra Serif" w:eastAsia="PT Astra Serif" w:cs="PT Astra Serif"/>
          <w:sz w:val="26"/>
          <w:szCs w:val="26"/>
        </w:rPr>
        <w:t xml:space="preserve">3. В части рассмотрения последствий указания в реестровой записи характеристик товара не соответствующих характеристикам, указанным заказчиком в описании объекта (предмета) закупки. Данный факт на этапе подачи заявок не выявляется, так как заказчик рассмат</w:t>
      </w:r>
      <w:r>
        <w:rPr>
          <w:rFonts w:ascii="PT Astra Serif" w:hAnsi="PT Astra Serif" w:eastAsia="PT Astra Serif" w:cs="PT Astra Serif"/>
          <w:sz w:val="26"/>
          <w:szCs w:val="26"/>
        </w:rPr>
        <w:t xml:space="preserve">ривает поданные заявки на участие в закупке (далее – заявка) только по представленной данными участниками информации. </w:t>
      </w:r>
      <w:r>
        <w:rPr>
          <w:rFonts w:ascii="PT Astra Serif" w:hAnsi="PT Astra Serif" w:eastAsia="PT Astra Serif" w:cs="PT Astra Serif"/>
          <w:bCs/>
          <w:i/>
          <w:sz w:val="26"/>
          <w:szCs w:val="26"/>
          <w:highlight w:val="none"/>
        </w:rPr>
      </w:r>
    </w:p>
    <w:p>
      <w:pPr>
        <w:ind w:firstLine="709"/>
        <w:jc w:val="both"/>
        <w:spacing w:after="0" w:line="240" w:lineRule="auto"/>
        <w:rPr>
          <w:rFonts w:ascii="PT Astra Serif" w:hAnsi="PT Astra Serif" w:eastAsia="PT Astra Serif" w:cs="PT Astra Serif"/>
          <w:sz w:val="26"/>
          <w:szCs w:val="26"/>
        </w:rPr>
      </w:pPr>
      <w:r>
        <w:rPr>
          <w:rFonts w:ascii="PT Astra Serif" w:hAnsi="PT Astra Serif" w:eastAsia="PT Astra Serif" w:cs="PT Astra Serif"/>
          <w:sz w:val="26"/>
          <w:szCs w:val="26"/>
        </w:rPr>
        <w:t xml:space="preserve">Последствия несоответствия вышеуказанных характеристик на стадии приемки товара. Статья 94 Закона № 44-ФЗ регла</w:t>
      </w:r>
      <w:r>
        <w:rPr>
          <w:rFonts w:ascii="PT Astra Serif" w:hAnsi="PT Astra Serif" w:eastAsia="PT Astra Serif" w:cs="PT Astra Serif"/>
          <w:sz w:val="26"/>
          <w:szCs w:val="26"/>
        </w:rPr>
        <w:t xml:space="preserve">ментирует процедуру осуществления приемки товара. В соответствии с частями 2, 3 данной статьи поставщик обязан к установленному контрактом сроку предоставить заказчику результаты поставки товара, предусмотренные контрактом, а заказчик обязан для проверки п</w:t>
      </w:r>
      <w:r>
        <w:rPr>
          <w:rFonts w:ascii="PT Astra Serif" w:hAnsi="PT Astra Serif" w:eastAsia="PT Astra Serif" w:cs="PT Astra Serif"/>
          <w:sz w:val="26"/>
          <w:szCs w:val="26"/>
        </w:rPr>
        <w:t xml:space="preserve">редоставленных поставщиком результатов, предусмотренных контрактом, в части их соответствия условиям контракта, провести экспертизу. </w:t>
      </w:r>
      <w:r>
        <w:rPr>
          <w:rFonts w:ascii="PT Astra Serif" w:hAnsi="PT Astra Serif" w:eastAsia="PT Astra Serif" w:cs="PT Astra Serif"/>
          <w:bCs/>
          <w:i/>
          <w:sz w:val="26"/>
          <w:szCs w:val="26"/>
          <w:highlight w:val="none"/>
        </w:rPr>
      </w:r>
    </w:p>
    <w:p>
      <w:pPr>
        <w:ind w:firstLine="709"/>
        <w:jc w:val="both"/>
        <w:spacing w:after="0" w:line="240" w:lineRule="auto"/>
        <w:rPr>
          <w:rFonts w:ascii="PT Astra Serif" w:hAnsi="PT Astra Serif" w:eastAsia="PT Astra Serif" w:cs="PT Astra Serif"/>
          <w:sz w:val="26"/>
          <w:szCs w:val="26"/>
        </w:rPr>
      </w:pPr>
      <w:r>
        <w:rPr>
          <w:rFonts w:ascii="PT Astra Serif" w:hAnsi="PT Astra Serif" w:eastAsia="PT Astra Serif" w:cs="PT Astra Serif"/>
          <w:sz w:val="26"/>
          <w:szCs w:val="26"/>
        </w:rPr>
        <w:t xml:space="preserve">Приемка поставленного товара осуществляется в порядке и в сроки, которые установлены контрактом, и оформляется документом о</w:t>
      </w:r>
      <w:r>
        <w:rPr>
          <w:rFonts w:ascii="PT Astra Serif" w:hAnsi="PT Astra Serif" w:eastAsia="PT Astra Serif" w:cs="PT Astra Serif"/>
          <w:sz w:val="26"/>
          <w:szCs w:val="26"/>
        </w:rPr>
        <w:t xml:space="preserve"> приемке, который подписывается заказчиком, либо заказчиком направляется поставщику в письменной форме мотивированный отказ от подписания такого документа (часть 7 статьи 94 Закона № 44-ФЗ). </w:t>
      </w:r>
      <w:r>
        <w:rPr>
          <w:rFonts w:ascii="PT Astra Serif" w:hAnsi="PT Astra Serif" w:eastAsia="PT Astra Serif" w:cs="PT Astra Serif"/>
          <w:bCs/>
          <w:i/>
          <w:sz w:val="26"/>
          <w:szCs w:val="26"/>
          <w:highlight w:val="none"/>
        </w:rPr>
      </w:r>
    </w:p>
    <w:p>
      <w:pPr>
        <w:ind w:firstLine="709"/>
        <w:jc w:val="both"/>
        <w:spacing w:after="0" w:line="240" w:lineRule="auto"/>
        <w:rPr>
          <w:rFonts w:ascii="PT Astra Serif" w:hAnsi="PT Astra Serif" w:eastAsia="PT Astra Serif" w:cs="PT Astra Serif"/>
          <w:sz w:val="26"/>
          <w:szCs w:val="26"/>
        </w:rPr>
      </w:pPr>
      <w:r>
        <w:rPr>
          <w:rFonts w:ascii="PT Astra Serif" w:hAnsi="PT Astra Serif" w:eastAsia="PT Astra Serif" w:cs="PT Astra Serif"/>
          <w:sz w:val="26"/>
          <w:szCs w:val="26"/>
        </w:rPr>
        <w:t xml:space="preserve">В случае обнаружения несоответствия поставляемого </w:t>
      </w:r>
      <w:r>
        <w:rPr>
          <w:rFonts w:ascii="PT Astra Serif" w:hAnsi="PT Astra Serif" w:eastAsia="PT Astra Serif" w:cs="PT Astra Serif"/>
          <w:sz w:val="26"/>
          <w:szCs w:val="26"/>
        </w:rPr>
        <w:t xml:space="preserve">товара условиям контракта (договора), заказчик вправе направить поставщику мотивированный отказ от подписания документа о приемке такого товара. </w:t>
      </w:r>
      <w:r>
        <w:rPr>
          <w:rFonts w:ascii="PT Astra Serif" w:hAnsi="PT Astra Serif" w:eastAsia="PT Astra Serif" w:cs="PT Astra Serif"/>
          <w:bCs/>
          <w:i/>
          <w:sz w:val="26"/>
          <w:szCs w:val="26"/>
          <w:highlight w:val="none"/>
        </w:rPr>
      </w:r>
    </w:p>
    <w:p>
      <w:pPr>
        <w:ind w:firstLine="709"/>
        <w:jc w:val="both"/>
        <w:spacing w:after="0" w:line="240" w:lineRule="auto"/>
        <w:rPr>
          <w:rFonts w:ascii="PT Astra Serif" w:hAnsi="PT Astra Serif" w:eastAsia="PT Astra Serif" w:cs="PT Astra Serif"/>
          <w:sz w:val="26"/>
          <w:szCs w:val="26"/>
        </w:rPr>
      </w:pPr>
      <w:r>
        <w:rPr>
          <w:rFonts w:ascii="PT Astra Serif" w:hAnsi="PT Astra Serif" w:eastAsia="PT Astra Serif" w:cs="PT Astra Serif"/>
          <w:sz w:val="26"/>
          <w:szCs w:val="26"/>
        </w:rPr>
        <w:t xml:space="preserve">4. По вопросу последствий передачи товара на стадии приемки с другой реестровой зап</w:t>
      </w:r>
      <w:r>
        <w:rPr>
          <w:rFonts w:ascii="PT Astra Serif" w:hAnsi="PT Astra Serif" w:eastAsia="PT Astra Serif" w:cs="PT Astra Serif"/>
          <w:sz w:val="26"/>
          <w:szCs w:val="26"/>
        </w:rPr>
        <w:t xml:space="preserve">исью, чем той, которая была указана в заявке. </w:t>
      </w:r>
      <w:r>
        <w:rPr>
          <w:rFonts w:ascii="PT Astra Serif" w:hAnsi="PT Astra Serif" w:eastAsia="PT Astra Serif" w:cs="PT Astra Serif"/>
          <w:bCs/>
          <w:i/>
          <w:sz w:val="26"/>
          <w:szCs w:val="26"/>
          <w:highlight w:val="none"/>
        </w:rPr>
      </w:r>
    </w:p>
    <w:p>
      <w:pPr>
        <w:ind w:firstLine="709"/>
        <w:jc w:val="both"/>
        <w:spacing w:after="0" w:line="240" w:lineRule="auto"/>
        <w:rPr>
          <w:rFonts w:ascii="PT Astra Serif" w:hAnsi="PT Astra Serif" w:eastAsia="PT Astra Serif" w:cs="PT Astra Serif"/>
          <w:sz w:val="26"/>
          <w:szCs w:val="26"/>
        </w:rPr>
      </w:pPr>
      <w:r>
        <w:rPr>
          <w:rFonts w:ascii="PT Astra Serif" w:hAnsi="PT Astra Serif" w:eastAsia="PT Astra Serif" w:cs="PT Astra Serif"/>
          <w:sz w:val="26"/>
          <w:szCs w:val="26"/>
        </w:rPr>
        <w:t xml:space="preserve">При распространении на товар, предусмотренного подпунктом «а» пункта 1 части 2 статьи 14 Закона № 44-ФЗ, подпунктом «а» пункта 1 части 2 статьи 31-4 Закона № 223-ФЗ запрета закуп</w:t>
      </w:r>
      <w:r>
        <w:rPr>
          <w:rFonts w:ascii="PT Astra Serif" w:hAnsi="PT Astra Serif" w:eastAsia="PT Astra Serif" w:cs="PT Astra Serif"/>
          <w:sz w:val="26"/>
          <w:szCs w:val="26"/>
        </w:rPr>
        <w:t xml:space="preserve">ок товаров (в том числе поставляемых при выполнении закупаемых работ, оказании закупаемых услуг), происходящих из иностранных государств, в соответствии подпунктом «в» пункта 1 части 4 статьи 14 Закона</w:t>
      </w:r>
      <w:r>
        <w:rPr>
          <w:rFonts w:ascii="PT Astra Serif" w:hAnsi="PT Astra Serif" w:eastAsia="PT Astra Serif" w:cs="PT Astra Serif"/>
          <w:sz w:val="26"/>
          <w:szCs w:val="26"/>
        </w:rPr>
        <w:t xml:space="preserve"> </w:t>
      </w:r>
      <w:r>
        <w:rPr>
          <w:rFonts w:ascii="PT Astra Serif" w:hAnsi="PT Astra Serif" w:eastAsia="PT Astra Serif" w:cs="PT Astra Serif"/>
          <w:sz w:val="26"/>
          <w:szCs w:val="26"/>
        </w:rPr>
        <w:t xml:space="preserve">№ 44-ФЗ, подпунктом «б» пункта 1 части 4 статьи 3 1-4 установлено, что при исполнении контракта (договора) замена такого товара на происходящий из иностранного государства товар, в отношении которого установлен данный запрет, не допускается. </w:t>
      </w:r>
      <w:r>
        <w:rPr>
          <w:rFonts w:ascii="PT Astra Serif" w:hAnsi="PT Astra Serif" w:eastAsia="PT Astra Serif" w:cs="PT Astra Serif"/>
          <w:bCs/>
          <w:i/>
          <w:sz w:val="26"/>
          <w:szCs w:val="26"/>
          <w:highlight w:val="none"/>
        </w:rPr>
      </w:r>
    </w:p>
    <w:p>
      <w:pPr>
        <w:ind w:firstLine="709"/>
        <w:jc w:val="both"/>
        <w:spacing w:after="0" w:line="240" w:lineRule="auto"/>
        <w:rPr>
          <w:rFonts w:ascii="PT Astra Serif" w:hAnsi="PT Astra Serif" w:eastAsia="PT Astra Serif" w:cs="PT Astra Serif"/>
          <w:sz w:val="26"/>
          <w:szCs w:val="26"/>
        </w:rPr>
      </w:pPr>
      <w:r>
        <w:rPr>
          <w:rFonts w:ascii="PT Astra Serif" w:hAnsi="PT Astra Serif" w:eastAsia="PT Astra Serif" w:cs="PT Astra Serif"/>
          <w:sz w:val="26"/>
          <w:szCs w:val="26"/>
        </w:rPr>
        <w:t xml:space="preserve">Если Правитель</w:t>
      </w:r>
      <w:r>
        <w:rPr>
          <w:rFonts w:ascii="PT Astra Serif" w:hAnsi="PT Astra Serif" w:eastAsia="PT Astra Serif" w:cs="PT Astra Serif"/>
          <w:sz w:val="26"/>
          <w:szCs w:val="26"/>
        </w:rPr>
        <w:t xml:space="preserve">ством Российской Федерации установлено предусмотренное подпунктом «б» пункта 1 части 2 настоящей статьи 14 Закона № 44-ФЗ, подпунктом «б» пункта 1 части 2 статьи 31-4 Закона № 223-ФЗ ограничение закупок товаров (в том числе поставляемых при выполнении заку</w:t>
      </w:r>
      <w:r>
        <w:rPr>
          <w:rFonts w:ascii="PT Astra Serif" w:hAnsi="PT Astra Serif" w:eastAsia="PT Astra Serif" w:cs="PT Astra Serif"/>
          <w:sz w:val="26"/>
          <w:szCs w:val="26"/>
        </w:rPr>
        <w:t xml:space="preserve">паемых работ, оказании закупаемых услуг), происходящих из иностранных государств, в соответствии с подпунктом «б» пункта 2 части 1 статьи 14 Закона № 44-ФЗ, подпунктом «б» пункта 2 части 4 статьи 31-4 Закона № 223-ФЗ установлено, что при исполнении контрак</w:t>
      </w:r>
      <w:r>
        <w:rPr>
          <w:rFonts w:ascii="PT Astra Serif" w:hAnsi="PT Astra Serif" w:eastAsia="PT Astra Serif" w:cs="PT Astra Serif"/>
          <w:sz w:val="26"/>
          <w:szCs w:val="26"/>
        </w:rPr>
        <w:t xml:space="preserve">та (договора)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 </w:t>
      </w:r>
      <w:r>
        <w:rPr>
          <w:rFonts w:ascii="PT Astra Serif" w:hAnsi="PT Astra Serif" w:eastAsia="PT Astra Serif" w:cs="PT Astra Serif"/>
          <w:bCs/>
          <w:i/>
          <w:sz w:val="26"/>
          <w:szCs w:val="26"/>
          <w:highlight w:val="none"/>
        </w:rPr>
      </w:r>
    </w:p>
    <w:p>
      <w:pPr>
        <w:ind w:firstLine="709"/>
        <w:jc w:val="both"/>
        <w:spacing w:after="0" w:line="240" w:lineRule="auto"/>
        <w:rPr>
          <w:rFonts w:ascii="PT Astra Serif" w:hAnsi="PT Astra Serif" w:eastAsia="PT Astra Serif" w:cs="PT Astra Serif"/>
          <w:sz w:val="26"/>
          <w:szCs w:val="26"/>
        </w:rPr>
      </w:pPr>
      <w:r>
        <w:rPr>
          <w:rFonts w:ascii="PT Astra Serif" w:hAnsi="PT Astra Serif" w:eastAsia="PT Astra Serif" w:cs="PT Astra Serif"/>
          <w:sz w:val="26"/>
          <w:szCs w:val="26"/>
        </w:rPr>
        <w:t xml:space="preserve">В случае установления Правительство</w:t>
      </w:r>
      <w:r>
        <w:rPr>
          <w:rFonts w:ascii="PT Astra Serif" w:hAnsi="PT Astra Serif" w:eastAsia="PT Astra Serif" w:cs="PT Astra Serif"/>
          <w:sz w:val="26"/>
          <w:szCs w:val="26"/>
        </w:rPr>
        <w:t xml:space="preserve">м Российской Федерации предусмотренного подпунктом «в» пункта 1 части 2 статьи 14 Закона № 44-ФЗ, подпунктом «в» пункта 1 части 2 статьи 31-4 Закона № 223-ФЗ (в том числе поставляемых при выполнении закупаемых работ, оказании закупаемых услуг), преимуществ</w:t>
      </w:r>
      <w:r>
        <w:rPr>
          <w:rFonts w:ascii="PT Astra Serif" w:hAnsi="PT Astra Serif" w:eastAsia="PT Astra Serif" w:cs="PT Astra Serif"/>
          <w:sz w:val="26"/>
          <w:szCs w:val="26"/>
        </w:rPr>
        <w:t xml:space="preserve">а в отношении товаров российского происхождения (в том числе поставляемых при выполнении закупаемых работ, оказании закупаемых услуг), то в соответствии с подпунктом «в» пункта 3 Закона № 44-ФЗ, подпунктом «в» пункта 3 части 4 статьи 31-4 Закона № 223-ФЗ п</w:t>
      </w:r>
      <w:r>
        <w:rPr>
          <w:rFonts w:ascii="PT Astra Serif" w:hAnsi="PT Astra Serif" w:eastAsia="PT Astra Serif" w:cs="PT Astra Serif"/>
          <w:sz w:val="26"/>
          <w:szCs w:val="26"/>
        </w:rPr>
        <w:t xml:space="preserve">ри исполнении контракта (договора) допускается замена товара (с учетом особенностей, предусмотренных частью 7 статьи 95 настоящего Федерального закона) исключительно на товар российского происхождения, если контракт предусматривает поставку товара российск</w:t>
      </w:r>
      <w:r>
        <w:rPr>
          <w:rFonts w:ascii="PT Astra Serif" w:hAnsi="PT Astra Serif" w:eastAsia="PT Astra Serif" w:cs="PT Astra Serif"/>
          <w:sz w:val="26"/>
          <w:szCs w:val="26"/>
        </w:rPr>
        <w:t xml:space="preserve">ого происхождения. </w:t>
      </w:r>
      <w:r>
        <w:rPr>
          <w:rFonts w:ascii="PT Astra Serif" w:hAnsi="PT Astra Serif" w:eastAsia="PT Astra Serif" w:cs="PT Astra Serif"/>
          <w:bCs/>
          <w:i/>
          <w:sz w:val="26"/>
          <w:szCs w:val="26"/>
          <w:highlight w:val="none"/>
        </w:rPr>
      </w:r>
    </w:p>
    <w:p>
      <w:pPr>
        <w:ind w:firstLine="709"/>
        <w:jc w:val="both"/>
        <w:spacing w:after="0" w:line="240" w:lineRule="auto"/>
        <w:rPr>
          <w:rFonts w:ascii="PT Astra Serif" w:hAnsi="PT Astra Serif" w:eastAsia="PT Astra Serif" w:cs="PT Astra Serif"/>
          <w:sz w:val="26"/>
          <w:szCs w:val="26"/>
        </w:rPr>
      </w:pPr>
      <w:r>
        <w:rPr>
          <w:rFonts w:ascii="PT Astra Serif" w:hAnsi="PT Astra Serif" w:eastAsia="PT Astra Serif" w:cs="PT Astra Serif"/>
          <w:sz w:val="26"/>
          <w:szCs w:val="26"/>
        </w:rPr>
        <w:t xml:space="preserve">Необходимо отметить, что реестровые записи должны быть действующими как на этапе подачи участником закупки заявки или на этапе заключения контракта (договора), так и на этапе исполнения контракта (договора). </w:t>
      </w:r>
      <w:r>
        <w:rPr>
          <w:rFonts w:ascii="PT Astra Serif" w:hAnsi="PT Astra Serif" w:eastAsia="PT Astra Serif" w:cs="PT Astra Serif"/>
          <w:bCs/>
          <w:i/>
          <w:sz w:val="26"/>
          <w:szCs w:val="26"/>
          <w:highlight w:val="none"/>
        </w:rPr>
      </w:r>
    </w:p>
    <w:p>
      <w:pPr>
        <w:ind w:firstLine="709"/>
        <w:jc w:val="both"/>
        <w:spacing w:after="0" w:line="240" w:lineRule="auto"/>
        <w:rPr>
          <w:rFonts w:ascii="PT Astra Serif" w:hAnsi="PT Astra Serif" w:eastAsia="PT Astra Serif" w:cs="PT Astra Serif"/>
          <w:sz w:val="26"/>
          <w:szCs w:val="26"/>
        </w:rPr>
      </w:pPr>
      <w:r>
        <w:rPr>
          <w:rFonts w:ascii="PT Astra Serif" w:hAnsi="PT Astra Serif" w:eastAsia="PT Astra Serif" w:cs="PT Astra Serif"/>
          <w:sz w:val="26"/>
          <w:szCs w:val="26"/>
        </w:rPr>
        <w:t xml:space="preserve">В частности, что соглас</w:t>
      </w:r>
      <w:r>
        <w:rPr>
          <w:rFonts w:ascii="PT Astra Serif" w:hAnsi="PT Astra Serif" w:eastAsia="PT Astra Serif" w:cs="PT Astra Serif"/>
          <w:sz w:val="26"/>
          <w:szCs w:val="26"/>
        </w:rPr>
        <w:t xml:space="preserve">но подпункту «з» пункта 10 Правил ведения реестра контрактов, заключенных заказчиками, утвержденных постановлением</w:t>
      </w:r>
      <w:r>
        <w:rPr>
          <w:rFonts w:ascii="PT Astra Serif" w:hAnsi="PT Astra Serif" w:eastAsia="PT Astra Serif" w:cs="PT Astra Serif"/>
          <w:sz w:val="26"/>
          <w:szCs w:val="26"/>
        </w:rPr>
        <w:t xml:space="preserve"> </w:t>
      </w:r>
      <w:r>
        <w:rPr>
          <w:rFonts w:ascii="PT Astra Serif" w:hAnsi="PT Astra Serif" w:eastAsia="PT Astra Serif" w:cs="PT Astra Serif"/>
          <w:sz w:val="26"/>
          <w:szCs w:val="26"/>
        </w:rPr>
        <w:t xml:space="preserve">Правительства Российской Федерации от 27 января 2022 г. № 60, номер реестровой записи включается в реестр контрактов, заключенных заказчиками. </w:t>
      </w:r>
      <w:r>
        <w:rPr>
          <w:rFonts w:ascii="PT Astra Serif" w:hAnsi="PT Astra Serif" w:eastAsia="PT Astra Serif" w:cs="PT Astra Serif"/>
          <w:bCs/>
          <w:i/>
          <w:sz w:val="26"/>
          <w:szCs w:val="26"/>
          <w:highlight w:val="none"/>
        </w:rPr>
      </w:r>
    </w:p>
    <w:p>
      <w:pPr>
        <w:ind w:firstLine="709"/>
        <w:jc w:val="both"/>
        <w:spacing w:after="0" w:line="240" w:lineRule="auto"/>
        <w:rPr>
          <w:rFonts w:ascii="PT Astra Serif" w:hAnsi="PT Astra Serif" w:eastAsia="PT Astra Serif" w:cs="PT Astra Serif"/>
          <w:sz w:val="26"/>
          <w:szCs w:val="26"/>
        </w:rPr>
      </w:pPr>
      <w:r>
        <w:rPr>
          <w:rFonts w:ascii="PT Astra Serif" w:hAnsi="PT Astra Serif" w:eastAsia="PT Astra Serif" w:cs="PT Astra Serif"/>
          <w:sz w:val="26"/>
          <w:szCs w:val="26"/>
        </w:rPr>
        <w:t xml:space="preserve">Аналогично согласно подпункту «д(3)» пункта 2 Правил ведения реестра договоров, заключенных заказчиками по резуль</w:t>
      </w:r>
      <w:r>
        <w:rPr>
          <w:rFonts w:ascii="PT Astra Serif" w:hAnsi="PT Astra Serif" w:eastAsia="PT Astra Serif" w:cs="PT Astra Serif"/>
          <w:sz w:val="26"/>
          <w:szCs w:val="26"/>
        </w:rPr>
        <w:t xml:space="preserve">татам закупки, утвержденных постановлением Правительства Российской Федерации от 31 октября 2014 г. № 1132 номер реестровой записи включается в реестр договоров, заключенных заказчиками. </w:t>
      </w:r>
      <w:r>
        <w:rPr>
          <w:rFonts w:ascii="PT Astra Serif" w:hAnsi="PT Astra Serif" w:eastAsia="PT Astra Serif" w:cs="PT Astra Serif"/>
          <w:bCs/>
          <w:i/>
          <w:sz w:val="26"/>
          <w:szCs w:val="26"/>
          <w:highlight w:val="none"/>
        </w:rPr>
      </w:r>
    </w:p>
    <w:p>
      <w:pPr>
        <w:ind w:firstLine="709"/>
        <w:jc w:val="both"/>
        <w:spacing w:after="0" w:line="240" w:lineRule="auto"/>
        <w:rPr>
          <w:highlight w:val="none"/>
        </w:rPr>
      </w:pPr>
      <w:r>
        <w:rPr>
          <w:rFonts w:ascii="PT Astra Serif" w:hAnsi="PT Astra Serif" w:eastAsia="PT Astra Serif" w:cs="PT Astra Serif"/>
          <w:sz w:val="26"/>
          <w:szCs w:val="26"/>
        </w:rPr>
        <w:t xml:space="preserve">Подмена и подлог реестровых за</w:t>
      </w:r>
      <w:r>
        <w:rPr>
          <w:rFonts w:ascii="PT Astra Serif" w:hAnsi="PT Astra Serif" w:eastAsia="PT Astra Serif" w:cs="PT Astra Serif"/>
          <w:sz w:val="26"/>
          <w:szCs w:val="26"/>
        </w:rPr>
        <w:t xml:space="preserve">писей являются поводами для отказа в приемке соответствующего товара.</w:t>
      </w:r>
      <w:r/>
      <w:r/>
    </w:p>
    <w:p>
      <w:pPr>
        <w:ind w:firstLine="709"/>
        <w:jc w:val="both"/>
        <w:spacing w:after="0" w:line="240" w:lineRule="auto"/>
        <w:rPr>
          <w:rFonts w:ascii="PT Astra Serif" w:hAnsi="PT Astra Serif" w:eastAsia="PT Astra Serif" w:cs="PT Astra Serif"/>
          <w:bCs/>
          <w:i/>
          <w:sz w:val="26"/>
          <w:szCs w:val="26"/>
          <w:highlight w:val="none"/>
        </w:rPr>
      </w:pPr>
      <w:r>
        <w:rPr>
          <w:rFonts w:ascii="PT Astra Serif" w:hAnsi="PT Astra Serif" w:eastAsia="PT Astra Serif" w:cs="PT Astra Serif"/>
          <w:bCs/>
          <w:i/>
          <w:sz w:val="26"/>
          <w:szCs w:val="26"/>
          <w:highlight w:val="none"/>
        </w:rPr>
      </w:r>
      <w:r>
        <w:rPr>
          <w:rFonts w:ascii="PT Astra Serif" w:hAnsi="PT Astra Serif" w:eastAsia="PT Astra Serif" w:cs="PT Astra Serif"/>
          <w:bCs/>
          <w:i/>
          <w:sz w:val="26"/>
          <w:szCs w:val="26"/>
          <w:highlight w:val="none"/>
        </w:rPr>
      </w:r>
    </w:p>
    <w:p>
      <w:pPr>
        <w:contextualSpacing w:val="0"/>
        <w:ind w:firstLine="709"/>
        <w:jc w:val="both"/>
        <w:spacing w:before="0" w:after="0" w:line="276" w:lineRule="auto"/>
        <w:shd w:val="nil"/>
        <w:rPr>
          <w:rFonts w:ascii="PT Astra Serif" w:hAnsi="PT Astra Serif" w:cs="PT Astra Serif"/>
          <w:bCs/>
          <w:i/>
          <w:sz w:val="26"/>
          <w:szCs w:val="26"/>
          <w:highlight w:val="none"/>
          <w14:ligatures w14:val="none"/>
        </w:rPr>
        <w:suppressLineNumbers w:val="0"/>
      </w:pPr>
      <w:r>
        <w:rPr>
          <w:rFonts w:ascii="PT Astra Serif" w:hAnsi="PT Astra Serif" w:eastAsia="PT Astra Serif" w:cs="PT Astra Serif"/>
          <w:i/>
          <w:iCs/>
          <w:sz w:val="26"/>
          <w:szCs w:val="26"/>
          <w:highlight w:val="none"/>
        </w:rPr>
        <w:t xml:space="preserve">Письмо Минифна России от 10.04.2026 № 24-06-06/30055 «О рассмотрении обращения»</w:t>
      </w:r>
      <w:r>
        <w:rPr>
          <w:rFonts w:ascii="PT Astra Serif" w:hAnsi="PT Astra Serif" w:eastAsia="PT Astra Serif" w:cs="PT Astra Serif"/>
          <w:i/>
          <w:iCs/>
          <w:sz w:val="26"/>
          <w:szCs w:val="26"/>
          <w:highlight w:val="none"/>
        </w:rPr>
      </w:r>
    </w:p>
    <w:p>
      <w:pPr>
        <w:contextualSpacing w:val="0"/>
        <w:ind w:left="0" w:right="0" w:firstLine="709"/>
        <w:jc w:val="both"/>
        <w:spacing w:before="0" w:after="0" w:line="276" w:lineRule="auto"/>
        <w:shd w:val="nil" w:color="000000"/>
        <w:rPr>
          <w:rFonts w:ascii="PT Astra Serif" w:hAnsi="PT Astra Serif" w:eastAsia="PT Astra Serif" w:cs="PT Astra Serif"/>
          <w:sz w:val="26"/>
          <w:szCs w:val="26"/>
          <w:highlight w:val="none"/>
          <w14:ligatures w14:val="none"/>
        </w:rPr>
        <w:suppressLineNumbers w:val="0"/>
      </w:pPr>
      <w:r>
        <w:rPr>
          <w:rFonts w:ascii="PT Astra Serif" w:hAnsi="PT Astra Serif" w:eastAsia="PT Astra Serif" w:cs="PT Astra Serif"/>
          <w:sz w:val="26"/>
          <w:szCs w:val="26"/>
          <w:highlight w:val="yellow"/>
        </w:rPr>
      </w:r>
      <w:r>
        <w:rPr>
          <w:rFonts w:ascii="PT Astra Serif" w:hAnsi="PT Astra Serif" w:eastAsia="PT Astra Serif" w:cs="PT Astra Serif"/>
          <w:sz w:val="26"/>
          <w:szCs w:val="26"/>
          <w:highlight w:val="white"/>
        </w:rPr>
        <w:t xml:space="preserve">Минфин России разъяснил возможность перераспределения стоимости работ и учета фактических объемов при исполнении контрактов на проектно-изыскательские работы</w:t>
      </w:r>
      <w:r>
        <w:rPr>
          <w:rFonts w:ascii="PT Astra Serif" w:hAnsi="PT Astra Serif" w:eastAsia="PT Astra Serif" w:cs="PT Astra Serif"/>
          <w:sz w:val="26"/>
          <w:szCs w:val="26"/>
          <w:highlight w:val="white"/>
        </w:rPr>
        <w:t xml:space="preserve">.</w:t>
      </w:r>
      <w:r>
        <w:rPr>
          <w:rFonts w:ascii="PT Astra Serif" w:hAnsi="PT Astra Serif" w:cs="PT Astra Serif"/>
          <w:sz w:val="26"/>
          <w:szCs w:val="26"/>
          <w:highlight w:val="yellow"/>
          <w14:ligatures w14:val="none"/>
        </w:rPr>
      </w:r>
      <w:r>
        <w:rPr>
          <w:rFonts w:ascii="PT Astra Serif" w:hAnsi="PT Astra Serif" w:cs="PT Astra Serif"/>
          <w:sz w:val="26"/>
          <w:szCs w:val="26"/>
          <w:highlight w:val="yellow"/>
          <w14:ligatures w14:val="none"/>
        </w:rPr>
      </w:r>
    </w:p>
    <w:p>
      <w:pPr>
        <w:contextualSpacing w:val="0"/>
        <w:ind w:firstLine="709"/>
        <w:jc w:val="both"/>
        <w:spacing w:before="0" w:after="0" w:line="276" w:lineRule="auto"/>
        <w:shd w:val="nil"/>
        <w:rPr>
          <w:rFonts w:ascii="PT Astra Serif" w:hAnsi="PT Astra Serif" w:cs="PT Astra Serif"/>
          <w:sz w:val="26"/>
          <w:szCs w:val="26"/>
          <w14:ligatures w14:val="none"/>
        </w:rPr>
        <w:suppressLineNumbers w:val="0"/>
      </w:pPr>
      <w:r>
        <w:rPr>
          <w:rFonts w:ascii="PT Astra Serif" w:hAnsi="PT Astra Serif" w:eastAsia="PT Astra Serif" w:cs="PT Astra Serif"/>
          <w:sz w:val="26"/>
          <w:szCs w:val="26"/>
          <w:highlight w:val="none"/>
        </w:rPr>
      </w:r>
      <w:r>
        <w:rPr>
          <w:rFonts w:ascii="PT Astra Serif" w:hAnsi="PT Astra Serif" w:eastAsia="PT Astra Serif" w:cs="PT Astra Serif"/>
          <w:sz w:val="26"/>
          <w:szCs w:val="26"/>
        </w:rPr>
        <w:t xml:space="preserve">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 44-ФЗ и</w:t>
      </w:r>
      <w:r>
        <w:rPr>
          <w:rFonts w:ascii="PT Astra Serif" w:hAnsi="PT Astra Serif" w:eastAsia="PT Astra Serif" w:cs="PT Astra Serif"/>
          <w:sz w:val="26"/>
          <w:szCs w:val="26"/>
        </w:rPr>
        <w:t xml:space="preserve">звещение об осуществлении закупки или приглашение, документация о закупке, заявка не предусмотрены (часть 1 статьи 34 Закона № 44-ФЗ). </w:t>
      </w:r>
      <w:r>
        <w:rPr>
          <w:rFonts w:ascii="PT Astra Serif" w:hAnsi="PT Astra Serif" w:eastAsia="PT Astra Serif" w:cs="PT Astra Serif"/>
          <w:sz w:val="26"/>
          <w:szCs w:val="26"/>
          <w:highlight w:val="none"/>
        </w:rPr>
      </w:r>
    </w:p>
    <w:p>
      <w:pPr>
        <w:contextualSpacing w:val="0"/>
        <w:ind w:firstLine="709"/>
        <w:jc w:val="both"/>
        <w:spacing w:before="0" w:after="0" w:line="276" w:lineRule="auto"/>
        <w:shd w:val="nil"/>
        <w:rPr>
          <w:rFonts w:ascii="PT Astra Serif" w:hAnsi="PT Astra Serif" w:cs="PT Astra Serif"/>
          <w:sz w:val="26"/>
          <w:szCs w:val="26"/>
          <w:highlight w:val="none"/>
          <w14:ligatures w14:val="none"/>
        </w:rPr>
        <w:suppressLineNumbers w:val="0"/>
      </w:pPr>
      <w:r>
        <w:rPr>
          <w:rFonts w:ascii="PT Astra Serif" w:hAnsi="PT Astra Serif" w:eastAsia="PT Astra Serif" w:cs="PT Astra Serif"/>
          <w:sz w:val="26"/>
          <w:szCs w:val="26"/>
        </w:rPr>
        <w:t xml:space="preserve">Частью 2 статьи 34 Закона № 44-ФЗ установлено, что при заключении контракта указывается, что цена контракта является твер</w:t>
      </w:r>
      <w:r>
        <w:rPr>
          <w:rFonts w:ascii="PT Astra Serif" w:hAnsi="PT Astra Serif" w:eastAsia="PT Astra Serif" w:cs="PT Astra Serif"/>
          <w:sz w:val="26"/>
          <w:szCs w:val="26"/>
        </w:rPr>
        <w:t xml:space="preserve">дой и определяется на весь срок исполнения контракта. При исполнении контракта изменение его существенных условий не допускается, за исключением случаев, предусмотренных Законом № 44-ФЗ. </w:t>
      </w:r>
      <w:r>
        <w:rPr>
          <w:rFonts w:ascii="PT Astra Serif" w:hAnsi="PT Astra Serif" w:eastAsia="PT Astra Serif" w:cs="PT Astra Serif"/>
          <w:sz w:val="26"/>
          <w:szCs w:val="26"/>
          <w:highlight w:val="none"/>
        </w:rPr>
      </w:r>
      <w:r>
        <w:rPr>
          <w:rFonts w:ascii="PT Astra Serif" w:hAnsi="PT Astra Serif" w:eastAsia="PT Astra Serif" w:cs="PT Astra Serif"/>
          <w:sz w:val="26"/>
          <w:szCs w:val="26"/>
        </w:rPr>
      </w:r>
    </w:p>
    <w:p>
      <w:pPr>
        <w:contextualSpacing w:val="0"/>
        <w:ind w:firstLine="709"/>
        <w:jc w:val="both"/>
        <w:spacing w:before="0" w:after="0" w:line="276" w:lineRule="auto"/>
        <w:shd w:val="nil"/>
        <w:rPr>
          <w:rFonts w:ascii="PT Astra Serif" w:hAnsi="PT Astra Serif" w:eastAsia="PT Astra Serif" w:cs="PT Astra Serif"/>
          <w:sz w:val="26"/>
          <w:szCs w:val="26"/>
          <w:highlight w:val="none"/>
          <w14:ligatures w14:val="none"/>
        </w:rPr>
        <w:suppressLineNumbers w:val="0"/>
      </w:pPr>
      <w:r>
        <w:rPr>
          <w:rFonts w:ascii="PT Astra Serif" w:hAnsi="PT Astra Serif" w:eastAsia="PT Astra Serif" w:cs="PT Astra Serif"/>
          <w:sz w:val="26"/>
          <w:szCs w:val="26"/>
          <w:highlight w:val="none"/>
        </w:rPr>
      </w:r>
      <w:r>
        <w:rPr>
          <w:rFonts w:ascii="PT Astra Serif" w:hAnsi="PT Astra Serif" w:eastAsia="PT Astra Serif" w:cs="PT Astra Serif"/>
          <w:sz w:val="26"/>
          <w:szCs w:val="26"/>
        </w:rPr>
        <w:t xml:space="preserve">Следует отметить, что цена контракта с учетом положений части 2 статьи 34, подпункта «б» пункта 1 части 2 статьи 51 Закона № 44-ФЗ, абзаца второго пункта 1 статьи 432 Гражданского кодекса Российской Федерации является существенным условием контракта, в связ</w:t>
      </w:r>
      <w:r>
        <w:rPr>
          <w:rFonts w:ascii="PT Astra Serif" w:hAnsi="PT Astra Serif" w:eastAsia="PT Astra Serif" w:cs="PT Astra Serif"/>
          <w:sz w:val="26"/>
          <w:szCs w:val="26"/>
        </w:rPr>
        <w:t xml:space="preserve">и с чем изменение цены заключенного контракта допускается исключительно при изменении существенных условий контракта в случаях и в пределах, предусмотренных Законом № 44-ФЗ.</w:t>
      </w:r>
      <w:r>
        <w:rPr>
          <w:rFonts w:ascii="PT Astra Serif" w:hAnsi="PT Astra Serif" w:eastAsia="PT Astra Serif" w:cs="PT Astra Serif"/>
          <w:sz w:val="26"/>
          <w:szCs w:val="26"/>
          <w:highlight w:val="none"/>
        </w:rPr>
      </w:r>
      <w:r>
        <w:rPr>
          <w:highlight w:val="none"/>
        </w:rPr>
      </w:r>
    </w:p>
    <w:p>
      <w:pPr>
        <w:contextualSpacing w:val="0"/>
        <w:ind w:firstLine="709"/>
        <w:jc w:val="both"/>
        <w:spacing w:before="0" w:after="0" w:line="276" w:lineRule="auto"/>
        <w:shd w:val="nil" w:color="000000"/>
        <w:rPr>
          <w:rFonts w:ascii="PT Astra Serif" w:hAnsi="PT Astra Serif" w:eastAsia="PT Astra Serif" w:cs="PT Astra Serif"/>
          <w:sz w:val="26"/>
          <w:szCs w:val="26"/>
          <w:highlight w:val="none"/>
          <w14:ligatures w14:val="none"/>
        </w:rPr>
        <w:suppressLineNumbers w:val="0"/>
      </w:pPr>
      <w:r>
        <w:rPr>
          <w:rFonts w:ascii="PT Astra Serif" w:hAnsi="PT Astra Serif" w:eastAsia="PT Astra Serif" w:cs="PT Astra Serif"/>
          <w:sz w:val="26"/>
          <w:szCs w:val="26"/>
          <w:highlight w:val="none"/>
          <w14:ligatures w14:val="none"/>
        </w:rPr>
      </w:r>
      <w:r>
        <w:rPr>
          <w:rFonts w:ascii="PT Astra Serif" w:hAnsi="PT Astra Serif" w:eastAsia="PT Astra Serif" w:cs="PT Astra Serif"/>
          <w:sz w:val="26"/>
          <w:szCs w:val="26"/>
          <w:highlight w:val="none"/>
          <w14:ligatures w14:val="none"/>
        </w:rPr>
      </w:r>
    </w:p>
    <w:p>
      <w:pPr>
        <w:contextualSpacing w:val="0"/>
        <w:ind w:firstLine="709"/>
        <w:jc w:val="both"/>
        <w:spacing w:before="0" w:after="0" w:line="276" w:lineRule="auto"/>
        <w:shd w:val="nil" w:color="000000"/>
        <w:rPr>
          <w:rFonts w:ascii="PT Astra Serif" w:hAnsi="PT Astra Serif" w:eastAsia="PT Astra Serif" w:cs="PT Astra Serif"/>
          <w:bCs/>
          <w:i/>
          <w:sz w:val="26"/>
          <w:szCs w:val="26"/>
          <w:highlight w:val="none"/>
          <w14:ligatures w14:val="none"/>
        </w:rPr>
        <w:suppressLineNumbers w:val="0"/>
      </w:pPr>
      <w:r>
        <w:rPr>
          <w:rFonts w:ascii="PT Astra Serif" w:hAnsi="PT Astra Serif" w:eastAsia="PT Astra Serif" w:cs="PT Astra Serif"/>
          <w:i/>
          <w:iCs/>
          <w:sz w:val="26"/>
          <w:szCs w:val="26"/>
          <w:highlight w:val="none"/>
        </w:rPr>
        <w:t xml:space="preserve">Постановление Арбитражного суда Северо-Кавказского округа по делу № А32-15157/2025</w:t>
      </w:r>
      <w:r>
        <w:rPr>
          <w:rFonts w:ascii="PT Astra Serif" w:hAnsi="PT Astra Serif" w:eastAsia="PT Astra Serif" w:cs="PT Astra Serif"/>
          <w:i/>
          <w:iCs/>
          <w:sz w:val="26"/>
          <w:szCs w:val="26"/>
          <w:highlight w:val="none"/>
        </w:rPr>
      </w:r>
    </w:p>
    <w:p>
      <w:pPr>
        <w:contextualSpacing w:val="0"/>
        <w:ind w:firstLine="709"/>
        <w:jc w:val="both"/>
        <w:spacing w:before="0" w:after="0" w:line="276" w:lineRule="auto"/>
        <w:shd w:val="nil" w:color="000000"/>
        <w:rPr>
          <w:rFonts w:ascii="PT Astra Serif" w:hAnsi="PT Astra Serif" w:eastAsia="PT Astra Serif" w:cs="PT Astra Serif"/>
          <w:bCs w:val="0"/>
          <w:i w:val="0"/>
          <w:sz w:val="26"/>
          <w:szCs w:val="26"/>
          <w:highlight w:val="none"/>
          <w14:ligatures w14:val="none"/>
        </w:rPr>
        <w:suppressLineNumbers w:val="0"/>
      </w:pPr>
      <w:r>
        <w:rPr>
          <w:rFonts w:ascii="PT Astra Serif" w:hAnsi="PT Astra Serif" w:eastAsia="PT Astra Serif" w:cs="PT Astra Serif"/>
          <w:i w:val="0"/>
          <w:iCs w:val="0"/>
          <w:sz w:val="26"/>
          <w:szCs w:val="26"/>
          <w:highlight w:val="none"/>
        </w:rPr>
        <w:t xml:space="preserve">Заявитель: УФАС</w:t>
      </w:r>
      <w:r>
        <w:rPr>
          <w:rFonts w:ascii="PT Astra Serif" w:hAnsi="PT Astra Serif" w:eastAsia="PT Astra Serif" w:cs="PT Astra Serif"/>
          <w:i w:val="0"/>
          <w:iCs w:val="0"/>
          <w:sz w:val="26"/>
          <w:szCs w:val="26"/>
          <w:highlight w:val="none"/>
        </w:rPr>
      </w:r>
    </w:p>
    <w:p>
      <w:pPr>
        <w:contextualSpacing w:val="0"/>
        <w:ind w:firstLine="709"/>
        <w:jc w:val="both"/>
        <w:spacing w:before="0" w:after="0" w:line="276" w:lineRule="auto"/>
        <w:shd w:val="nil" w:color="000000"/>
        <w:rPr>
          <w:rFonts w:ascii="PT Astra Serif" w:hAnsi="PT Astra Serif" w:eastAsia="PT Astra Serif" w:cs="PT Astra Serif"/>
          <w:bCs w:val="0"/>
          <w:i w:val="0"/>
          <w:sz w:val="26"/>
          <w:szCs w:val="26"/>
          <w:highlight w:val="none"/>
          <w14:ligatures w14:val="none"/>
        </w:rPr>
        <w:suppressLineNumbers w:val="0"/>
      </w:pPr>
      <w:r>
        <w:rPr>
          <w:rFonts w:ascii="PT Astra Serif" w:hAnsi="PT Astra Serif" w:eastAsia="PT Astra Serif" w:cs="PT Astra Serif"/>
          <w:i w:val="0"/>
          <w:iCs w:val="0"/>
          <w:sz w:val="26"/>
          <w:szCs w:val="26"/>
          <w:highlight w:val="none"/>
        </w:rPr>
        <w:t xml:space="preserve">Общество обратилось с жалобой в УФАС на действия Учреждения при проведении </w:t>
      </w:r>
      <w:r>
        <w:rPr>
          <w:rFonts w:ascii="PT Astra Serif" w:hAnsi="PT Astra Serif" w:eastAsia="PT Astra Serif" w:cs="PT Astra Serif"/>
          <w:i w:val="0"/>
          <w:iCs w:val="0"/>
          <w:sz w:val="26"/>
          <w:szCs w:val="26"/>
          <w:highlight w:val="none"/>
        </w:rPr>
        <w:t xml:space="preserve">открытого конкурса в электронной форме «Услуги частной охраны (выставление поста охраны)», выразившиеся в отклонении заявки Общества в связи с представлением Обществом </w:t>
      </w:r>
      <w:r>
        <w:rPr>
          <w:rFonts w:ascii="PT Astra Serif" w:hAnsi="PT Astra Serif" w:eastAsia="PT Astra Serif" w:cs="PT Astra Serif"/>
          <w:i w:val="0"/>
          <w:iCs w:val="0"/>
          <w:sz w:val="26"/>
          <w:szCs w:val="26"/>
          <w:highlight w:val="none"/>
        </w:rPr>
        <w:t xml:space="preserve">для оценки опыта недостоверных сведений.</w:t>
      </w:r>
      <w:r>
        <w:rPr>
          <w:rFonts w:ascii="PT Astra Serif" w:hAnsi="PT Astra Serif" w:eastAsia="PT Astra Serif" w:cs="PT Astra Serif"/>
          <w:i w:val="0"/>
          <w:iCs w:val="0"/>
          <w:sz w:val="26"/>
          <w:szCs w:val="26"/>
          <w:highlight w:val="none"/>
        </w:rPr>
        <w:t xml:space="preserve"> УФАС признало жалобу Общества необоснованной.</w:t>
      </w:r>
      <w:r>
        <w:rPr>
          <w:rFonts w:ascii="PT Astra Serif" w:hAnsi="PT Astra Serif" w:eastAsia="PT Astra Serif" w:cs="PT Astra Serif"/>
          <w:bCs w:val="0"/>
          <w:i w:val="0"/>
          <w:sz w:val="26"/>
          <w:szCs w:val="26"/>
          <w:highlight w:val="none"/>
          <w14:ligatures w14:val="none"/>
        </w:rPr>
      </w:r>
    </w:p>
    <w:p>
      <w:pPr>
        <w:contextualSpacing w:val="0"/>
        <w:ind w:firstLine="709"/>
        <w:jc w:val="both"/>
        <w:spacing w:before="0" w:after="0" w:line="276" w:lineRule="auto"/>
        <w:shd w:val="nil" w:color="000000"/>
        <w:rPr>
          <w:rFonts w:ascii="PT Astra Serif" w:hAnsi="PT Astra Serif" w:eastAsia="PT Astra Serif" w:cs="PT Astra Serif"/>
          <w:bCs w:val="0"/>
          <w:i w:val="0"/>
          <w:sz w:val="26"/>
          <w:szCs w:val="26"/>
          <w:highlight w:val="none"/>
          <w14:ligatures w14:val="none"/>
        </w:rPr>
        <w:suppressLineNumbers w:val="0"/>
      </w:pPr>
      <w:r>
        <w:rPr>
          <w:rFonts w:ascii="PT Astra Serif" w:hAnsi="PT Astra Serif" w:eastAsia="PT Astra Serif" w:cs="PT Astra Serif"/>
          <w:i w:val="0"/>
          <w:iCs w:val="0"/>
          <w:sz w:val="26"/>
          <w:szCs w:val="26"/>
          <w:highlight w:val="none"/>
        </w:rPr>
        <w:t xml:space="preserve">Не согласившись с вынесенным решением УФАС, Общество обратилось в суд.</w:t>
      </w:r>
      <w:r>
        <w:rPr>
          <w:rFonts w:ascii="PT Astra Serif" w:hAnsi="PT Astra Serif" w:eastAsia="PT Astra Serif" w:cs="PT Astra Serif"/>
          <w:bCs w:val="0"/>
          <w:i w:val="0"/>
          <w:sz w:val="26"/>
          <w:szCs w:val="26"/>
          <w:highlight w:val="none"/>
          <w14:ligatures w14:val="none"/>
        </w:rPr>
      </w:r>
    </w:p>
    <w:p>
      <w:pPr>
        <w:contextualSpacing w:val="0"/>
        <w:ind w:firstLine="709"/>
        <w:jc w:val="both"/>
        <w:spacing w:before="0" w:after="0" w:line="276" w:lineRule="auto"/>
        <w:shd w:val="nil" w:color="000000"/>
        <w:rPr>
          <w:rFonts w:ascii="PT Astra Serif" w:hAnsi="PT Astra Serif" w:eastAsia="PT Astra Serif" w:cs="PT Astra Serif"/>
          <w:bCs w:val="0"/>
          <w:i w:val="0"/>
          <w:sz w:val="26"/>
          <w:szCs w:val="26"/>
          <w:highlight w:val="none"/>
          <w14:ligatures w14:val="none"/>
        </w:rPr>
        <w:suppressLineNumbers w:val="0"/>
      </w:pPr>
      <w:r>
        <w:rPr>
          <w:rFonts w:ascii="PT Astra Serif" w:hAnsi="PT Astra Serif" w:eastAsia="PT Astra Serif" w:cs="PT Astra Serif"/>
          <w:i w:val="0"/>
          <w:iCs w:val="0"/>
          <w:sz w:val="26"/>
          <w:szCs w:val="26"/>
          <w:highlight w:val="none"/>
        </w:rPr>
        <w:t xml:space="preserve">Суд первой инстанции, отказывая в удовлетворении заявления Общества, указал, что представленный Обществом для оценки опыта договор на охрану объектов содержит недостоверную информацию в части указания Абоева Р.Э. генеральным директором Общества, не являвшимся таковым на дату подписания договора.</w:t>
      </w:r>
      <w:r>
        <w:rPr>
          <w:rFonts w:ascii="PT Astra Serif" w:hAnsi="PT Astra Serif" w:eastAsia="PT Astra Serif" w:cs="PT Astra Serif"/>
          <w:bCs w:val="0"/>
          <w:i w:val="0"/>
          <w:sz w:val="26"/>
          <w:szCs w:val="26"/>
          <w:highlight w:val="none"/>
          <w14:ligatures w14:val="none"/>
        </w:rPr>
      </w:r>
    </w:p>
    <w:p>
      <w:pPr>
        <w:contextualSpacing w:val="0"/>
        <w:ind w:firstLine="709"/>
        <w:jc w:val="both"/>
        <w:spacing w:before="0" w:after="0" w:line="276" w:lineRule="auto"/>
        <w:shd w:val="nil" w:color="000000"/>
        <w:rPr>
          <w:rFonts w:ascii="PT Astra Serif" w:hAnsi="PT Astra Serif" w:eastAsia="PT Astra Serif" w:cs="PT Astra Serif"/>
          <w:bCs w:val="0"/>
          <w:i w:val="0"/>
          <w:sz w:val="26"/>
          <w:szCs w:val="26"/>
          <w:highlight w:val="none"/>
          <w14:ligatures w14:val="none"/>
        </w:rPr>
        <w:suppressLineNumbers w:val="0"/>
      </w:pPr>
      <w:r>
        <w:rPr>
          <w:rFonts w:ascii="PT Astra Serif" w:hAnsi="PT Astra Serif" w:eastAsia="PT Astra Serif" w:cs="PT Astra Serif"/>
          <w:i w:val="0"/>
          <w:iCs w:val="0"/>
          <w:sz w:val="26"/>
          <w:szCs w:val="26"/>
          <w:highlight w:val="none"/>
        </w:rPr>
        <w:t xml:space="preserve">Суд апелляционной инстанции отменил решение суда первой инстанции и указал, что договор действительно подписан Абоевым Р.Э., который ранее был директором Общества согласно сведениям ЕГРЮЛ, однако на дату подписания договора 20.12.2022 уже не являлся генеральным директором Общества. При этом Абоев Р.Э. действовал в интересах Общества на основании выданной ему 11.12.2022 доверенности и уполномочен ею на заключение договоров от имени Общества. </w:t>
      </w:r>
      <w:r>
        <w:rPr>
          <w:rFonts w:ascii="PT Astra Serif" w:hAnsi="PT Astra Serif" w:eastAsia="PT Astra Serif" w:cs="PT Astra Serif"/>
          <w:bCs w:val="0"/>
          <w:i w:val="0"/>
          <w:sz w:val="26"/>
          <w:szCs w:val="26"/>
          <w:highlight w:val="none"/>
          <w14:ligatures w14:val="none"/>
        </w:rPr>
      </w:r>
    </w:p>
    <w:p>
      <w:pPr>
        <w:contextualSpacing w:val="0"/>
        <w:ind w:firstLine="709"/>
        <w:jc w:val="both"/>
        <w:spacing w:before="0" w:after="0" w:line="276" w:lineRule="auto"/>
        <w:shd w:val="nil" w:color="000000"/>
        <w:rPr>
          <w:rFonts w:ascii="PT Astra Serif" w:hAnsi="PT Astra Serif" w:eastAsia="PT Astra Serif" w:cs="PT Astra Serif"/>
          <w:bCs w:val="0"/>
          <w:i w:val="0"/>
          <w:sz w:val="26"/>
          <w:szCs w:val="26"/>
          <w:highlight w:val="none"/>
          <w14:ligatures w14:val="none"/>
        </w:rPr>
        <w:suppressLineNumbers w:val="0"/>
      </w:pPr>
      <w:r>
        <w:rPr>
          <w:rFonts w:ascii="PT Astra Serif" w:hAnsi="PT Astra Serif" w:eastAsia="PT Astra Serif" w:cs="PT Astra Serif"/>
          <w:i w:val="0"/>
          <w:iCs w:val="0"/>
          <w:sz w:val="26"/>
          <w:szCs w:val="26"/>
          <w:highlight w:val="none"/>
        </w:rPr>
        <w:t xml:space="preserve">Спорный договор содержит оттиск печати Общества, что свидетельствует о том, что договор подписан надлежащим уполномоченным лицом, имеющим доступ к печати организации, полномочия которого явствовали из обстановки. Кроме того, Общество в составе заявки приложило акт сдачи-приемки по указанному договору. Опыт выполнения работ подтверждается самим фактом выполнения согласно подписанному акту. Ошибочное указание должности не порочит ни сам договор, ни факт его выполнения.</w:t>
      </w:r>
      <w:r>
        <w:rPr>
          <w:rFonts w:ascii="PT Astra Serif" w:hAnsi="PT Astra Serif" w:eastAsia="PT Astra Serif" w:cs="PT Astra Serif"/>
          <w:bCs w:val="0"/>
          <w:i w:val="0"/>
          <w:sz w:val="26"/>
          <w:szCs w:val="26"/>
          <w:highlight w:val="none"/>
          <w14:ligatures w14:val="none"/>
        </w:rPr>
      </w:r>
    </w:p>
    <w:p>
      <w:pPr>
        <w:contextualSpacing w:val="0"/>
        <w:ind w:firstLine="709"/>
        <w:jc w:val="both"/>
        <w:spacing w:before="0" w:after="0" w:line="276" w:lineRule="auto"/>
        <w:shd w:val="nil" w:color="000000"/>
        <w:rPr>
          <w:rFonts w:ascii="PT Astra Serif" w:hAnsi="PT Astra Serif" w:eastAsia="PT Astra Serif" w:cs="PT Astra Serif"/>
          <w:bCs w:val="0"/>
          <w:i w:val="0"/>
          <w:sz w:val="26"/>
          <w:szCs w:val="26"/>
          <w:highlight w:val="none"/>
          <w14:ligatures w14:val="none"/>
        </w:rPr>
        <w:suppressLineNumbers w:val="0"/>
      </w:pPr>
      <w:r>
        <w:rPr>
          <w:rFonts w:ascii="PT Astra Serif" w:hAnsi="PT Astra Serif" w:eastAsia="PT Astra Serif" w:cs="PT Astra Serif"/>
          <w:i w:val="0"/>
          <w:iCs w:val="0"/>
          <w:sz w:val="26"/>
          <w:szCs w:val="26"/>
          <w:highlight w:val="none"/>
        </w:rPr>
        <w:t xml:space="preserve">На основании изложенного суд апелляционной инстанции пришел к выводу о том, что у Учреждения отсутствовали правовые основания для исключения спорного договора при подсчете опыта Общества как участника закупки.</w:t>
      </w:r>
      <w:r>
        <w:rPr>
          <w:rFonts w:ascii="PT Astra Serif" w:hAnsi="PT Astra Serif" w:eastAsia="PT Astra Serif" w:cs="PT Astra Serif"/>
          <w:bCs w:val="0"/>
          <w:i w:val="0"/>
          <w:sz w:val="26"/>
          <w:szCs w:val="26"/>
          <w:highlight w:val="none"/>
          <w14:ligatures w14:val="none"/>
        </w:rPr>
      </w:r>
    </w:p>
    <w:p>
      <w:pPr>
        <w:contextualSpacing w:val="0"/>
        <w:ind w:firstLine="709"/>
        <w:jc w:val="both"/>
        <w:spacing w:before="0" w:after="0" w:line="276" w:lineRule="auto"/>
        <w:shd w:val="nil" w:color="000000"/>
        <w:rPr>
          <w:highlight w:val="none"/>
          <w14:ligatures w14:val="none"/>
        </w:rPr>
        <w:suppressLineNumbers w:val="0"/>
      </w:pPr>
      <w:r>
        <w:rPr>
          <w:rFonts w:ascii="PT Astra Serif" w:hAnsi="PT Astra Serif" w:eastAsia="PT Astra Serif" w:cs="PT Astra Serif"/>
          <w:i w:val="0"/>
          <w:iCs w:val="0"/>
          <w:sz w:val="26"/>
          <w:szCs w:val="26"/>
          <w:highlight w:val="none"/>
        </w:rPr>
        <w:t xml:space="preserve">Суд кассационной инстанции поддержал выводы суда апелляционной инстанции.</w:t>
        <w:tab/>
      </w:r>
      <w:r/>
      <w:r/>
    </w:p>
    <w:p>
      <w:pPr>
        <w:contextualSpacing w:val="0"/>
        <w:ind w:firstLine="709"/>
        <w:jc w:val="both"/>
        <w:spacing w:before="0" w:after="0" w:line="276" w:lineRule="auto"/>
        <w:shd w:val="nil" w:color="000000"/>
        <w:rPr>
          <w:rFonts w:ascii="PT Astra Serif" w:hAnsi="PT Astra Serif" w:eastAsia="PT Astra Serif" w:cs="PT Astra Serif"/>
          <w:bCs w:val="0"/>
          <w:i w:val="0"/>
          <w:sz w:val="26"/>
          <w:szCs w:val="26"/>
          <w:highlight w:val="none"/>
          <w14:ligatures w14:val="none"/>
        </w:rPr>
        <w:suppressLineNumbers w:val="0"/>
      </w:pPr>
      <w:r>
        <w:rPr>
          <w:rFonts w:ascii="PT Astra Serif" w:hAnsi="PT Astra Serif" w:eastAsia="PT Astra Serif" w:cs="PT Astra Serif"/>
          <w:bCs w:val="0"/>
          <w:i w:val="0"/>
          <w:sz w:val="26"/>
          <w:szCs w:val="26"/>
          <w:highlight w:val="none"/>
          <w14:ligatures w14:val="none"/>
        </w:rPr>
      </w:r>
      <w:r>
        <w:rPr>
          <w:rFonts w:ascii="PT Astra Serif" w:hAnsi="PT Astra Serif" w:eastAsia="PT Astra Serif" w:cs="PT Astra Serif"/>
          <w:bCs w:val="0"/>
          <w:i w:val="0"/>
          <w:sz w:val="26"/>
          <w:szCs w:val="26"/>
          <w:highlight w:val="none"/>
          <w14:ligatures w14:val="none"/>
        </w:rPr>
      </w:r>
    </w:p>
    <w:p>
      <w:pPr>
        <w:contextualSpacing w:val="0"/>
        <w:ind w:firstLine="709"/>
        <w:jc w:val="both"/>
        <w:spacing w:before="0" w:after="0" w:line="276" w:lineRule="auto"/>
        <w:shd w:val="nil" w:color="000000"/>
        <w:rPr>
          <w:rFonts w:ascii="PT Astra Serif" w:hAnsi="PT Astra Serif" w:eastAsia="PT Astra Serif" w:cs="PT Astra Serif"/>
          <w:bCs/>
          <w:i/>
          <w:sz w:val="26"/>
          <w:szCs w:val="26"/>
          <w:highlight w:val="none"/>
          <w14:ligatures w14:val="none"/>
        </w:rPr>
        <w:suppressLineNumbers w:val="0"/>
      </w:pPr>
      <w:r>
        <w:rPr>
          <w:rFonts w:ascii="PT Astra Serif" w:hAnsi="PT Astra Serif" w:eastAsia="PT Astra Serif" w:cs="PT Astra Serif"/>
          <w:i/>
          <w:iCs/>
          <w:sz w:val="26"/>
          <w:szCs w:val="26"/>
          <w:highlight w:val="none"/>
        </w:rPr>
        <w:t xml:space="preserve">Решение Северо-Осетинского УФАС России от 06.03.2026 по делу № А59-03/26 (015/06/105-146/2026)</w:t>
      </w:r>
      <w:r>
        <w:rPr>
          <w:rFonts w:ascii="PT Astra Serif" w:hAnsi="PT Astra Serif" w:eastAsia="PT Astra Serif" w:cs="PT Astra Serif"/>
          <w:i/>
          <w:iCs/>
          <w:sz w:val="26"/>
          <w:szCs w:val="26"/>
          <w:highlight w:val="none"/>
        </w:rPr>
      </w:r>
    </w:p>
    <w:p>
      <w:pPr>
        <w:contextualSpacing w:val="0"/>
        <w:ind w:firstLine="709"/>
        <w:jc w:val="both"/>
        <w:spacing w:before="0" w:after="0" w:line="276" w:lineRule="auto"/>
        <w:shd w:val="nil" w:color="000000"/>
        <w:rPr>
          <w:rFonts w:ascii="PT Astra Serif" w:hAnsi="PT Astra Serif" w:eastAsia="PT Astra Serif" w:cs="PT Astra Serif"/>
          <w:sz w:val="26"/>
          <w:szCs w:val="26"/>
          <w:highlight w:val="none"/>
          <w14:ligatures w14:val="none"/>
        </w:rPr>
        <w:suppressLineNumbers w:val="0"/>
      </w:pPr>
      <w:r>
        <w:rPr>
          <w:rFonts w:ascii="PT Astra Serif" w:hAnsi="PT Astra Serif" w:eastAsia="PT Astra Serif" w:cs="PT Astra Serif"/>
          <w:sz w:val="26"/>
          <w:szCs w:val="26"/>
          <w:highlight w:val="none"/>
        </w:rPr>
        <w:t xml:space="preserve">Заявитель: Общество</w:t>
      </w:r>
      <w:r>
        <w:rPr>
          <w:rFonts w:ascii="PT Astra Serif" w:hAnsi="PT Astra Serif" w:eastAsia="PT Astra Serif" w:cs="PT Astra Serif"/>
          <w:sz w:val="26"/>
          <w:szCs w:val="26"/>
          <w:highlight w:val="none"/>
        </w:rPr>
      </w:r>
    </w:p>
    <w:p>
      <w:pPr>
        <w:contextualSpacing w:val="0"/>
        <w:ind w:firstLine="709"/>
        <w:jc w:val="both"/>
        <w:spacing w:before="0" w:after="0" w:line="276" w:lineRule="auto"/>
        <w:shd w:val="nil" w:color="000000"/>
        <w:rPr>
          <w:rFonts w:ascii="PT Astra Serif" w:hAnsi="PT Astra Serif" w:eastAsia="PT Astra Serif" w:cs="PT Astra Serif"/>
          <w:sz w:val="26"/>
          <w:szCs w:val="26"/>
          <w:highlight w:val="none"/>
          <w14:ligatures w14:val="none"/>
        </w:rPr>
        <w:suppressLineNumbers w:val="0"/>
      </w:pPr>
      <w:r>
        <w:rPr>
          <w:rFonts w:ascii="PT Astra Serif" w:hAnsi="PT Astra Serif" w:eastAsia="PT Astra Serif" w:cs="PT Astra Serif"/>
          <w:sz w:val="26"/>
          <w:szCs w:val="26"/>
          <w:highlight w:val="none"/>
        </w:rPr>
        <w:t xml:space="preserve">В УФАС поступила жалоба Общества на отклонение его заявки в связи с несоответствием требованиям извещения.</w:t>
      </w:r>
      <w:r>
        <w:rPr>
          <w:rFonts w:ascii="PT Astra Serif" w:hAnsi="PT Astra Serif" w:eastAsia="PT Astra Serif" w:cs="PT Astra Serif"/>
          <w:sz w:val="26"/>
          <w:szCs w:val="26"/>
          <w:highlight w:val="none"/>
        </w:rPr>
      </w:r>
    </w:p>
    <w:p>
      <w:pPr>
        <w:contextualSpacing w:val="0"/>
        <w:ind w:firstLine="709"/>
        <w:jc w:val="both"/>
        <w:spacing w:before="0" w:after="0" w:line="276" w:lineRule="auto"/>
        <w:shd w:val="nil" w:color="000000"/>
        <w:rPr>
          <w:rFonts w:ascii="PT Astra Serif" w:hAnsi="PT Astra Serif" w:eastAsia="PT Astra Serif" w:cs="PT Astra Serif"/>
          <w:sz w:val="26"/>
          <w:szCs w:val="26"/>
          <w:highlight w:val="none"/>
          <w14:ligatures w14:val="none"/>
        </w:rPr>
        <w:suppressLineNumbers w:val="0"/>
      </w:pPr>
      <w:r>
        <w:rPr>
          <w:rFonts w:ascii="PT Astra Serif" w:hAnsi="PT Astra Serif" w:eastAsia="PT Astra Serif" w:cs="PT Astra Serif"/>
          <w:sz w:val="26"/>
          <w:szCs w:val="26"/>
          <w:highlight w:val="none"/>
        </w:rPr>
        <w:t xml:space="preserve">Рассмотрев жалобу, УФАС установило следующее.</w:t>
      </w:r>
      <w:r>
        <w:rPr>
          <w:rFonts w:ascii="PT Astra Serif" w:hAnsi="PT Astra Serif" w:eastAsia="PT Astra Serif" w:cs="PT Astra Serif"/>
          <w:sz w:val="26"/>
          <w:szCs w:val="26"/>
          <w:highlight w:val="none"/>
        </w:rPr>
      </w:r>
    </w:p>
    <w:p>
      <w:pPr>
        <w:contextualSpacing w:val="0"/>
        <w:ind w:firstLine="709"/>
        <w:jc w:val="both"/>
        <w:spacing w:before="0" w:after="0" w:line="276" w:lineRule="auto"/>
        <w:shd w:val="nil" w:color="000000"/>
        <w:rPr>
          <w:rFonts w:ascii="PT Astra Serif" w:hAnsi="PT Astra Serif" w:eastAsia="PT Astra Serif" w:cs="PT Astra Serif"/>
          <w:sz w:val="26"/>
          <w:szCs w:val="26"/>
          <w:highlight w:val="none"/>
          <w14:ligatures w14:val="none"/>
        </w:rPr>
        <w:suppressLineNumbers w:val="0"/>
      </w:pPr>
      <w:r>
        <w:rPr>
          <w:rFonts w:ascii="PT Astra Serif" w:hAnsi="PT Astra Serif" w:eastAsia="PT Astra Serif" w:cs="PT Astra Serif"/>
          <w:sz w:val="26"/>
          <w:szCs w:val="26"/>
          <w:highlight w:val="none"/>
        </w:rPr>
        <w:t xml:space="preserve">Учреждением размещено извещение о проведении открытого конкурса в электронной форме на выполнение работ по капитальному ремонту объекта капитального строительства. В извещении установлены требования к участникам закупок о наличии у участника закупки права выполнять строительство, реконструкцию, капитальный ремонт объектов капитального строительства по договору строительного подряда в соответствии с пунктом 1 части 1 статьи 31 Закона № 44-ФЗ. Минимальный размер взноса в компенсационный фонд возмещения вреда должен быть сформирован в соответствии с требованиями части 12 статьи 55.16 ГрК РФ,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части 13 статьи 55.15 ГрК РФ. </w:t>
      </w:r>
      <w:r>
        <w:rPr>
          <w:rFonts w:ascii="PT Astra Serif" w:hAnsi="PT Astra Serif" w:eastAsia="PT Astra Serif" w:cs="PT Astra Serif"/>
          <w:sz w:val="26"/>
          <w:szCs w:val="26"/>
          <w:highlight w:val="none"/>
          <w14:ligatures w14:val="none"/>
        </w:rPr>
      </w:r>
    </w:p>
    <w:p>
      <w:pPr>
        <w:contextualSpacing w:val="0"/>
        <w:ind w:firstLine="709"/>
        <w:jc w:val="both"/>
        <w:spacing w:before="0" w:after="0" w:line="276" w:lineRule="auto"/>
        <w:shd w:val="nil" w:color="000000"/>
        <w:rPr>
          <w:rFonts w:ascii="PT Astra Serif" w:hAnsi="PT Astra Serif" w:eastAsia="PT Astra Serif" w:cs="PT Astra Serif"/>
          <w:sz w:val="26"/>
          <w:szCs w:val="26"/>
          <w:highlight w:val="none"/>
          <w14:ligatures w14:val="none"/>
        </w:rPr>
        <w:suppressLineNumbers w:val="0"/>
      </w:pPr>
      <w:r>
        <w:rPr>
          <w:rFonts w:ascii="PT Astra Serif" w:hAnsi="PT Astra Serif" w:eastAsia="PT Astra Serif" w:cs="PT Astra Serif"/>
          <w:sz w:val="26"/>
          <w:szCs w:val="26"/>
          <w:highlight w:val="none"/>
        </w:rPr>
        <w:t xml:space="preserve">Согласно Протоколу подведения итогов конкурса комиссия Учреждения отклонила заявку Общества в связи с тем, что Обществом не представлены документы, подтверждающие наличие у Общества права выполнять строительство, реконструкцию, капитальный ремонт объектов капитального строительства по договору строительного подряда. </w:t>
      </w:r>
      <w:r>
        <w:rPr>
          <w:rFonts w:ascii="PT Astra Serif" w:hAnsi="PT Astra Serif" w:eastAsia="PT Astra Serif" w:cs="PT Astra Serif"/>
          <w:sz w:val="26"/>
          <w:szCs w:val="26"/>
          <w:highlight w:val="none"/>
        </w:rPr>
      </w:r>
      <w:r/>
    </w:p>
    <w:p>
      <w:pPr>
        <w:contextualSpacing w:val="0"/>
        <w:ind w:firstLine="709"/>
        <w:jc w:val="both"/>
        <w:spacing w:before="0" w:after="0" w:line="276" w:lineRule="auto"/>
        <w:shd w:val="nil" w:color="000000"/>
        <w:rPr>
          <w:rFonts w:ascii="PT Astra Serif" w:hAnsi="PT Astra Serif" w:eastAsia="PT Astra Serif" w:cs="PT Astra Serif"/>
          <w:sz w:val="26"/>
          <w:szCs w:val="26"/>
          <w:highlight w:val="none"/>
          <w14:ligatures w14:val="none"/>
        </w:rPr>
        <w:suppressLineNumbers w:val="0"/>
      </w:pPr>
      <w:r>
        <w:rPr>
          <w:rFonts w:ascii="PT Astra Serif" w:hAnsi="PT Astra Serif" w:eastAsia="PT Astra Serif" w:cs="PT Astra Serif"/>
          <w:sz w:val="26"/>
          <w:szCs w:val="26"/>
          <w:highlight w:val="none"/>
        </w:rPr>
        <w:t xml:space="preserve">Согласно подпункту «о» пункта 1 части 1 статьи 43 Закона № 44-ФЗ для участия в конкурентном способе заявка на участие в закупке, если иное не предусмотрено Законом № 44-ФЗ, должна содержать информацию и документы об участнике закупки, в том числе декларацию о соответствии участника закупки требованиям, установленным пунктами 3-5, 7-11 части 1 статьи 31 Закона № 44-ФЗ. Если информация и документы, которые подтверждают соответствие участника закупки требованиям, установленным пунктом 1 части 1 статьи 31 Закона № 44-ФЗ,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включено положение о соответствии участника закупки требованиям, установленным пунктом 1 части 1 статьи 31 Закона № 44-ФЗ, с указанием сайта или страницы сайта в информационно-телекоммуникационной сети «Интернет», на которых размещены такие информация и документы.</w:t>
      </w:r>
      <w:r>
        <w:rPr>
          <w:rFonts w:ascii="PT Astra Serif" w:hAnsi="PT Astra Serif" w:eastAsia="PT Astra Serif" w:cs="PT Astra Serif"/>
          <w:sz w:val="26"/>
          <w:szCs w:val="26"/>
          <w:highlight w:val="none"/>
        </w:rPr>
      </w:r>
    </w:p>
    <w:p>
      <w:pPr>
        <w:contextualSpacing w:val="0"/>
        <w:ind w:firstLine="709"/>
        <w:jc w:val="both"/>
        <w:spacing w:before="0" w:after="0" w:line="276" w:lineRule="auto"/>
        <w:shd w:val="nil" w:color="000000"/>
        <w:rPr>
          <w:rFonts w:ascii="PT Astra Serif" w:hAnsi="PT Astra Serif" w:eastAsia="PT Astra Serif" w:cs="PT Astra Serif"/>
          <w:sz w:val="26"/>
          <w:szCs w:val="26"/>
          <w:highlight w:val="none"/>
          <w14:ligatures w14:val="none"/>
        </w:rPr>
        <w:suppressLineNumbers w:val="0"/>
      </w:pPr>
      <w:r>
        <w:rPr>
          <w:rFonts w:ascii="PT Astra Serif" w:hAnsi="PT Astra Serif" w:eastAsia="PT Astra Serif" w:cs="PT Astra Serif"/>
          <w:sz w:val="26"/>
          <w:szCs w:val="26"/>
          <w:highlight w:val="none"/>
        </w:rPr>
        <w:t xml:space="preserve">В составе второй части заявки Общества не указан адрес сайта или страница сайта (ссылки), на которых размещена информация и документы (сведения о СРО), которые подтверждают соответствие участника закупки требованиям, установленным пунктом 1 части 1 статьи 31 Закона № 44-ФЗ.</w:t>
      </w:r>
      <w:r>
        <w:rPr>
          <w:rFonts w:ascii="PT Astra Serif" w:hAnsi="PT Astra Serif" w:eastAsia="PT Astra Serif" w:cs="PT Astra Serif"/>
          <w:sz w:val="26"/>
          <w:szCs w:val="26"/>
          <w:highlight w:val="none"/>
        </w:rPr>
      </w:r>
    </w:p>
    <w:p>
      <w:pPr>
        <w:contextualSpacing w:val="0"/>
        <w:ind w:firstLine="709"/>
        <w:jc w:val="both"/>
        <w:spacing w:before="0" w:after="0" w:line="276" w:lineRule="auto"/>
        <w:shd w:val="nil" w:color="000000"/>
        <w:rPr>
          <w:rFonts w:ascii="PT Astra Serif" w:hAnsi="PT Astra Serif" w:cs="PT Astra Serif"/>
          <w:sz w:val="26"/>
          <w:szCs w:val="26"/>
          <w:highlight w:val="none"/>
          <w14:ligatures w14:val="none"/>
        </w:rPr>
        <w:suppressLineNumbers w:val="0"/>
      </w:pPr>
      <w:r>
        <w:rPr>
          <w:rFonts w:ascii="PT Astra Serif" w:hAnsi="PT Astra Serif" w:eastAsia="PT Astra Serif" w:cs="PT Astra Serif"/>
          <w:sz w:val="26"/>
          <w:szCs w:val="26"/>
          <w:highlight w:val="none"/>
        </w:rPr>
        <w:t xml:space="preserve">Таким образом, решение комиссии Учреждения об отклонении заявки Общества на участие в конкурсе является обоснованным. УФАС признал жалобу Общества необоснованной.</w:t>
      </w:r>
      <w:r>
        <w:rPr>
          <w:rFonts w:ascii="PT Astra Serif" w:hAnsi="PT Astra Serif" w:eastAsia="PT Astra Serif" w:cs="PT Astra Serif"/>
          <w:sz w:val="26"/>
          <w:szCs w:val="26"/>
          <w:highlight w:val="none"/>
        </w:rPr>
      </w:r>
    </w:p>
    <w:p>
      <w:pPr>
        <w:contextualSpacing w:val="0"/>
        <w:ind w:firstLine="709"/>
        <w:jc w:val="both"/>
        <w:spacing w:before="0" w:after="0" w:line="276" w:lineRule="auto"/>
        <w:shd w:val="nil" w:color="000000"/>
        <w:rPr>
          <w:rFonts w:ascii="PT Astra Serif" w:hAnsi="PT Astra Serif" w:eastAsia="PT Astra Serif" w:cs="PT Astra Serif"/>
          <w:bCs w:val="0"/>
          <w:i w:val="0"/>
          <w:sz w:val="26"/>
          <w:szCs w:val="26"/>
          <w:highlight w:val="none"/>
          <w14:ligatures w14:val="none"/>
        </w:rPr>
        <w:suppressLineNumbers w:val="0"/>
      </w:pPr>
      <w:r>
        <w:rPr>
          <w:highlight w:val="none"/>
        </w:rPr>
      </w:r>
      <w:r>
        <w:rPr>
          <w:highlight w:val="none"/>
        </w:rPr>
      </w:r>
    </w:p>
    <w:p>
      <w:pPr>
        <w:ind w:firstLine="709"/>
        <w:jc w:val="both"/>
        <w:spacing w:after="0" w:line="240" w:lineRule="auto"/>
        <w:rPr>
          <w:rFonts w:ascii="PT Astra Serif" w:hAnsi="PT Astra Serif" w:eastAsia="PT Astra Serif" w:cs="PT Astra Serif"/>
          <w:bCs/>
          <w:i/>
          <w:sz w:val="26"/>
          <w:szCs w:val="26"/>
          <w:highlight w:val="none"/>
        </w:rPr>
      </w:pPr>
      <w:r>
        <w:rPr>
          <w:highlight w:val="none"/>
        </w:rPr>
      </w:r>
      <w:r>
        <w:rPr>
          <w:highlight w:val="none"/>
        </w:rPr>
      </w:r>
    </w:p>
    <w:p>
      <w:pPr>
        <w:ind w:firstLine="709"/>
        <w:jc w:val="both"/>
        <w:spacing w:after="0" w:line="240" w:lineRule="auto"/>
        <w:rPr>
          <w:rFonts w:ascii="PT Astra Serif" w:hAnsi="PT Astra Serif" w:eastAsia="PT Astra Serif" w:cs="PT Astra Serif"/>
          <w:bCs/>
          <w:i/>
          <w:color w:val="000000" w:themeColor="text1"/>
          <w:sz w:val="26"/>
          <w:szCs w:val="26"/>
          <w:highlight w:val="yellow"/>
        </w:rPr>
      </w:pPr>
      <w:r>
        <w:rPr>
          <w:rFonts w:ascii="PT Astra Serif" w:hAnsi="PT Astra Serif" w:eastAsia="PT Astra Serif" w:cs="PT Astra Serif"/>
          <w:i/>
          <w:color w:val="000000" w:themeColor="text1"/>
          <w:sz w:val="26"/>
          <w:szCs w:val="26"/>
          <w:highlight w:val="none"/>
        </w:rPr>
      </w:r>
      <w:r>
        <w:rPr>
          <w:rFonts w:ascii="PT Astra Serif" w:hAnsi="PT Astra Serif" w:eastAsia="PT Astra Serif" w:cs="PT Astra Serif"/>
          <w:i/>
          <w:color w:val="000000" w:themeColor="text1"/>
          <w:sz w:val="26"/>
          <w:szCs w:val="26"/>
          <w:highlight w:val="none"/>
        </w:rPr>
      </w:r>
    </w:p>
    <w:sectPr>
      <w:headerReference w:type="default" r:id="rId9"/>
      <w:headerReference w:type="first" r:id="rId10"/>
      <w:footerReference w:type="first" r:id="rId11"/>
      <w:footnotePr/>
      <w:endnotePr/>
      <w:type w:val="nextPage"/>
      <w:pgSz w:w="11906" w:h="16838" w:orient="portrait"/>
      <w:pgMar w:top="1134" w:right="567" w:bottom="1134" w:left="1134" w:header="709" w:footer="709" w:gutter="0"/>
      <w:pgNumType w:start="1"/>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font>
  <w:font w:name="Roboto">
    <w:panose1 w:val="02000000000000000000"/>
  </w:font>
  <w:font w:name="Symbol">
    <w:panose1 w:val="05050102010706020507"/>
  </w:font>
  <w:font w:name="Courier New">
    <w:panose1 w:val="02070309020205020404"/>
  </w:font>
  <w:font w:name="Wingdings">
    <w:panose1 w:val="05000000000000000000"/>
  </w:font>
  <w:font w:name="Liberation Sans">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rPr>
        <w:rFonts w:ascii="PT Astra Serif" w:hAnsi="PT Astra Serif" w:cs="PT Astra Serif"/>
      </w:rPr>
    </w:pPr>
    <w:fldSimple w:instr="PAGE \* MERGEFORMAT">
      <w:r>
        <w:rPr>
          <w:rFonts w:ascii="PT Astra Serif" w:hAnsi="PT Astra Serif" w:eastAsia="PT Astra Serif" w:cs="PT Astra Serif"/>
        </w:rPr>
        <w:t xml:space="preserve">1</w:t>
      </w:r>
    </w:fldSimple>
    <w:r>
      <w:rPr>
        <w:rFonts w:ascii="PT Astra Serif" w:hAnsi="PT Astra Serif" w:eastAsia="PT Astra Serif" w:cs="PT Astra Serif"/>
      </w:rPr>
    </w:r>
    <w:r>
      <w:rPr>
        <w:rFonts w:ascii="PT Astra Serif" w:hAnsi="PT Astra Serif" w:cs="PT Astra Serif"/>
      </w:rPr>
    </w:r>
    <w:r>
      <w:rPr>
        <w:rFonts w:ascii="PT Astra Serif" w:hAnsi="PT Astra Serif" w:cs="PT Astra Serif"/>
      </w:rPr>
    </w:r>
  </w:p>
  <w:p>
    <w:pPr>
      <w:pStyle w:val="76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357" w:hanging="357"/>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
    <w:multiLevelType w:val="hybridMultilevel"/>
    <w:lvl w:ilvl="0">
      <w:start w:val="1"/>
      <w:numFmt w:val="bullet"/>
      <w:isLgl w:val="false"/>
      <w:suff w:val="tab"/>
      <w:lvlText w:val=""/>
      <w:lvlJc w:val="left"/>
      <w:pPr>
        <w:ind w:left="1322" w:hanging="360"/>
      </w:pPr>
      <w:rPr>
        <w:rFonts w:hint="default" w:ascii="Wingdings" w:hAnsi="Wingdings"/>
      </w:rPr>
    </w:lvl>
    <w:lvl w:ilvl="1">
      <w:start w:val="1"/>
      <w:numFmt w:val="bullet"/>
      <w:isLgl w:val="false"/>
      <w:suff w:val="tab"/>
      <w:lvlText w:val="o"/>
      <w:lvlJc w:val="left"/>
      <w:pPr>
        <w:ind w:left="2042" w:hanging="360"/>
      </w:pPr>
      <w:rPr>
        <w:rFonts w:hint="default" w:ascii="Courier New" w:hAnsi="Courier New" w:cs="Courier New"/>
      </w:rPr>
    </w:lvl>
    <w:lvl w:ilvl="2">
      <w:start w:val="1"/>
      <w:numFmt w:val="bullet"/>
      <w:isLgl w:val="false"/>
      <w:suff w:val="tab"/>
      <w:lvlText w:val=""/>
      <w:lvlJc w:val="left"/>
      <w:pPr>
        <w:ind w:left="2762" w:hanging="360"/>
      </w:pPr>
      <w:rPr>
        <w:rFonts w:hint="default" w:ascii="Wingdings" w:hAnsi="Wingdings"/>
      </w:rPr>
    </w:lvl>
    <w:lvl w:ilvl="3">
      <w:start w:val="1"/>
      <w:numFmt w:val="bullet"/>
      <w:isLgl w:val="false"/>
      <w:suff w:val="tab"/>
      <w:lvlText w:val=""/>
      <w:lvlJc w:val="left"/>
      <w:pPr>
        <w:ind w:left="3482" w:hanging="360"/>
      </w:pPr>
      <w:rPr>
        <w:rFonts w:hint="default" w:ascii="Symbol" w:hAnsi="Symbol"/>
      </w:rPr>
    </w:lvl>
    <w:lvl w:ilvl="4">
      <w:start w:val="1"/>
      <w:numFmt w:val="bullet"/>
      <w:isLgl w:val="false"/>
      <w:suff w:val="tab"/>
      <w:lvlText w:val="o"/>
      <w:lvlJc w:val="left"/>
      <w:pPr>
        <w:ind w:left="4202" w:hanging="360"/>
      </w:pPr>
      <w:rPr>
        <w:rFonts w:hint="default" w:ascii="Courier New" w:hAnsi="Courier New" w:cs="Courier New"/>
      </w:rPr>
    </w:lvl>
    <w:lvl w:ilvl="5">
      <w:start w:val="1"/>
      <w:numFmt w:val="bullet"/>
      <w:isLgl w:val="false"/>
      <w:suff w:val="tab"/>
      <w:lvlText w:val=""/>
      <w:lvlJc w:val="left"/>
      <w:pPr>
        <w:ind w:left="4922" w:hanging="360"/>
      </w:pPr>
      <w:rPr>
        <w:rFonts w:hint="default" w:ascii="Wingdings" w:hAnsi="Wingdings"/>
      </w:rPr>
    </w:lvl>
    <w:lvl w:ilvl="6">
      <w:start w:val="1"/>
      <w:numFmt w:val="bullet"/>
      <w:isLgl w:val="false"/>
      <w:suff w:val="tab"/>
      <w:lvlText w:val=""/>
      <w:lvlJc w:val="left"/>
      <w:pPr>
        <w:ind w:left="5642" w:hanging="360"/>
      </w:pPr>
      <w:rPr>
        <w:rFonts w:hint="default" w:ascii="Symbol" w:hAnsi="Symbol"/>
      </w:rPr>
    </w:lvl>
    <w:lvl w:ilvl="7">
      <w:start w:val="1"/>
      <w:numFmt w:val="bullet"/>
      <w:isLgl w:val="false"/>
      <w:suff w:val="tab"/>
      <w:lvlText w:val="o"/>
      <w:lvlJc w:val="left"/>
      <w:pPr>
        <w:ind w:left="6362" w:hanging="360"/>
      </w:pPr>
      <w:rPr>
        <w:rFonts w:hint="default" w:ascii="Courier New" w:hAnsi="Courier New" w:cs="Courier New"/>
      </w:rPr>
    </w:lvl>
    <w:lvl w:ilvl="8">
      <w:start w:val="1"/>
      <w:numFmt w:val="bullet"/>
      <w:isLgl w:val="false"/>
      <w:suff w:val="tab"/>
      <w:lvlText w:val=""/>
      <w:lvlJc w:val="left"/>
      <w:pPr>
        <w:ind w:left="7082" w:hanging="360"/>
      </w:pPr>
      <w:rPr>
        <w:rFonts w:hint="default" w:ascii="Wingdings" w:hAnsi="Wingdings"/>
      </w:rPr>
    </w:lvl>
  </w:abstractNum>
  <w:abstractNum w:abstractNumId="2">
    <w:multiLevelType w:val="hybridMultilevel"/>
    <w:lvl w:ilvl="0">
      <w:start w:val="1"/>
      <w:numFmt w:val="bullet"/>
      <w:isLgl w:val="false"/>
      <w:suff w:val="tab"/>
      <w:lvlText w:val="Ø"/>
      <w:lvlJc w:val="left"/>
      <w:pPr>
        <w:ind w:left="1276" w:hanging="360"/>
      </w:pPr>
      <w:rPr>
        <w:rFonts w:ascii="Wingdings" w:hAnsi="Wingdings" w:eastAsia="Wingdings" w:cs="Wingdings"/>
      </w:rPr>
    </w:lvl>
    <w:lvl w:ilvl="1">
      <w:start w:val="1"/>
      <w:numFmt w:val="bullet"/>
      <w:isLgl w:val="false"/>
      <w:suff w:val="tab"/>
      <w:lvlText w:val="o"/>
      <w:lvlJc w:val="left"/>
      <w:pPr>
        <w:ind w:left="1996" w:hanging="360"/>
      </w:pPr>
      <w:rPr>
        <w:rFonts w:hint="default" w:ascii="Courier New" w:hAnsi="Courier New" w:eastAsia="Courier New" w:cs="Courier New"/>
      </w:rPr>
    </w:lvl>
    <w:lvl w:ilvl="2">
      <w:start w:val="1"/>
      <w:numFmt w:val="bullet"/>
      <w:isLgl w:val="false"/>
      <w:suff w:val="tab"/>
      <w:lvlText w:val="§"/>
      <w:lvlJc w:val="left"/>
      <w:pPr>
        <w:ind w:left="2716" w:hanging="360"/>
      </w:pPr>
      <w:rPr>
        <w:rFonts w:hint="default" w:ascii="Wingdings" w:hAnsi="Wingdings" w:eastAsia="Wingdings" w:cs="Wingdings"/>
      </w:rPr>
    </w:lvl>
    <w:lvl w:ilvl="3">
      <w:start w:val="1"/>
      <w:numFmt w:val="bullet"/>
      <w:isLgl w:val="false"/>
      <w:suff w:val="tab"/>
      <w:lvlText w:val="·"/>
      <w:lvlJc w:val="left"/>
      <w:pPr>
        <w:ind w:left="3436" w:hanging="360"/>
      </w:pPr>
      <w:rPr>
        <w:rFonts w:hint="default" w:ascii="Symbol" w:hAnsi="Symbol" w:eastAsia="Symbol" w:cs="Symbol"/>
      </w:rPr>
    </w:lvl>
    <w:lvl w:ilvl="4">
      <w:start w:val="1"/>
      <w:numFmt w:val="bullet"/>
      <w:isLgl w:val="false"/>
      <w:suff w:val="tab"/>
      <w:lvlText w:val="o"/>
      <w:lvlJc w:val="left"/>
      <w:pPr>
        <w:ind w:left="4156" w:hanging="360"/>
      </w:pPr>
      <w:rPr>
        <w:rFonts w:hint="default" w:ascii="Courier New" w:hAnsi="Courier New" w:eastAsia="Courier New" w:cs="Courier New"/>
      </w:rPr>
    </w:lvl>
    <w:lvl w:ilvl="5">
      <w:start w:val="1"/>
      <w:numFmt w:val="bullet"/>
      <w:isLgl w:val="false"/>
      <w:suff w:val="tab"/>
      <w:lvlText w:val="§"/>
      <w:lvlJc w:val="left"/>
      <w:pPr>
        <w:ind w:left="4876" w:hanging="360"/>
      </w:pPr>
      <w:rPr>
        <w:rFonts w:hint="default" w:ascii="Wingdings" w:hAnsi="Wingdings" w:eastAsia="Wingdings" w:cs="Wingdings"/>
      </w:rPr>
    </w:lvl>
    <w:lvl w:ilvl="6">
      <w:start w:val="1"/>
      <w:numFmt w:val="bullet"/>
      <w:isLgl w:val="false"/>
      <w:suff w:val="tab"/>
      <w:lvlText w:val="·"/>
      <w:lvlJc w:val="left"/>
      <w:pPr>
        <w:ind w:left="5596" w:hanging="360"/>
      </w:pPr>
      <w:rPr>
        <w:rFonts w:hint="default" w:ascii="Symbol" w:hAnsi="Symbol" w:eastAsia="Symbol" w:cs="Symbol"/>
      </w:rPr>
    </w:lvl>
    <w:lvl w:ilvl="7">
      <w:start w:val="1"/>
      <w:numFmt w:val="bullet"/>
      <w:isLgl w:val="false"/>
      <w:suff w:val="tab"/>
      <w:lvlText w:val="o"/>
      <w:lvlJc w:val="left"/>
      <w:pPr>
        <w:ind w:left="6316" w:hanging="360"/>
      </w:pPr>
      <w:rPr>
        <w:rFonts w:hint="default" w:ascii="Courier New" w:hAnsi="Courier New" w:eastAsia="Courier New" w:cs="Courier New"/>
      </w:rPr>
    </w:lvl>
    <w:lvl w:ilvl="8">
      <w:start w:val="1"/>
      <w:numFmt w:val="bullet"/>
      <w:isLgl w:val="false"/>
      <w:suff w:val="tab"/>
      <w:lvlText w:val="§"/>
      <w:lvlJc w:val="left"/>
      <w:pPr>
        <w:ind w:left="7036"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Ø"/>
      <w:lvlJc w:val="left"/>
      <w:pPr>
        <w:ind w:left="1276" w:hanging="360"/>
      </w:pPr>
      <w:rPr>
        <w:rFonts w:ascii="Wingdings" w:hAnsi="Wingdings" w:eastAsia="Wingdings" w:cs="Wingdings"/>
      </w:rPr>
    </w:lvl>
    <w:lvl w:ilvl="1">
      <w:start w:val="1"/>
      <w:numFmt w:val="bullet"/>
      <w:isLgl w:val="false"/>
      <w:suff w:val="tab"/>
      <w:lvlText w:val="o"/>
      <w:lvlJc w:val="left"/>
      <w:pPr>
        <w:ind w:left="1996" w:hanging="360"/>
      </w:pPr>
      <w:rPr>
        <w:rFonts w:hint="default" w:ascii="Courier New" w:hAnsi="Courier New" w:eastAsia="Courier New" w:cs="Courier New"/>
      </w:rPr>
    </w:lvl>
    <w:lvl w:ilvl="2">
      <w:start w:val="1"/>
      <w:numFmt w:val="bullet"/>
      <w:isLgl w:val="false"/>
      <w:suff w:val="tab"/>
      <w:lvlText w:val="§"/>
      <w:lvlJc w:val="left"/>
      <w:pPr>
        <w:ind w:left="2716" w:hanging="360"/>
      </w:pPr>
      <w:rPr>
        <w:rFonts w:hint="default" w:ascii="Wingdings" w:hAnsi="Wingdings" w:eastAsia="Wingdings" w:cs="Wingdings"/>
      </w:rPr>
    </w:lvl>
    <w:lvl w:ilvl="3">
      <w:start w:val="1"/>
      <w:numFmt w:val="bullet"/>
      <w:isLgl w:val="false"/>
      <w:suff w:val="tab"/>
      <w:lvlText w:val="·"/>
      <w:lvlJc w:val="left"/>
      <w:pPr>
        <w:ind w:left="3436" w:hanging="360"/>
      </w:pPr>
      <w:rPr>
        <w:rFonts w:hint="default" w:ascii="Symbol" w:hAnsi="Symbol" w:eastAsia="Symbol" w:cs="Symbol"/>
      </w:rPr>
    </w:lvl>
    <w:lvl w:ilvl="4">
      <w:start w:val="1"/>
      <w:numFmt w:val="bullet"/>
      <w:isLgl w:val="false"/>
      <w:suff w:val="tab"/>
      <w:lvlText w:val="o"/>
      <w:lvlJc w:val="left"/>
      <w:pPr>
        <w:ind w:left="4156" w:hanging="360"/>
      </w:pPr>
      <w:rPr>
        <w:rFonts w:hint="default" w:ascii="Courier New" w:hAnsi="Courier New" w:eastAsia="Courier New" w:cs="Courier New"/>
      </w:rPr>
    </w:lvl>
    <w:lvl w:ilvl="5">
      <w:start w:val="1"/>
      <w:numFmt w:val="bullet"/>
      <w:isLgl w:val="false"/>
      <w:suff w:val="tab"/>
      <w:lvlText w:val="§"/>
      <w:lvlJc w:val="left"/>
      <w:pPr>
        <w:ind w:left="4876" w:hanging="360"/>
      </w:pPr>
      <w:rPr>
        <w:rFonts w:hint="default" w:ascii="Wingdings" w:hAnsi="Wingdings" w:eastAsia="Wingdings" w:cs="Wingdings"/>
      </w:rPr>
    </w:lvl>
    <w:lvl w:ilvl="6">
      <w:start w:val="1"/>
      <w:numFmt w:val="bullet"/>
      <w:isLgl w:val="false"/>
      <w:suff w:val="tab"/>
      <w:lvlText w:val="·"/>
      <w:lvlJc w:val="left"/>
      <w:pPr>
        <w:ind w:left="5596" w:hanging="360"/>
      </w:pPr>
      <w:rPr>
        <w:rFonts w:hint="default" w:ascii="Symbol" w:hAnsi="Symbol" w:eastAsia="Symbol" w:cs="Symbol"/>
      </w:rPr>
    </w:lvl>
    <w:lvl w:ilvl="7">
      <w:start w:val="1"/>
      <w:numFmt w:val="bullet"/>
      <w:isLgl w:val="false"/>
      <w:suff w:val="tab"/>
      <w:lvlText w:val="o"/>
      <w:lvlJc w:val="left"/>
      <w:pPr>
        <w:ind w:left="6316" w:hanging="360"/>
      </w:pPr>
      <w:rPr>
        <w:rFonts w:hint="default" w:ascii="Courier New" w:hAnsi="Courier New" w:eastAsia="Courier New" w:cs="Courier New"/>
      </w:rPr>
    </w:lvl>
    <w:lvl w:ilvl="8">
      <w:start w:val="1"/>
      <w:numFmt w:val="bullet"/>
      <w:isLgl w:val="false"/>
      <w:suff w:val="tab"/>
      <w:lvlText w:val="§"/>
      <w:lvlJc w:val="left"/>
      <w:pPr>
        <w:ind w:left="7036"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Ø"/>
      <w:lvlJc w:val="left"/>
      <w:pPr>
        <w:ind w:left="1276" w:hanging="360"/>
      </w:pPr>
      <w:rPr>
        <w:rFonts w:ascii="Wingdings" w:hAnsi="Wingdings" w:eastAsia="Wingdings" w:cs="Wingdings"/>
      </w:rPr>
    </w:lvl>
    <w:lvl w:ilvl="1">
      <w:start w:val="1"/>
      <w:numFmt w:val="bullet"/>
      <w:isLgl w:val="false"/>
      <w:suff w:val="tab"/>
      <w:lvlText w:val="o"/>
      <w:lvlJc w:val="left"/>
      <w:pPr>
        <w:ind w:left="1996" w:hanging="360"/>
      </w:pPr>
      <w:rPr>
        <w:rFonts w:hint="default" w:ascii="Courier New" w:hAnsi="Courier New" w:eastAsia="Courier New" w:cs="Courier New"/>
      </w:rPr>
    </w:lvl>
    <w:lvl w:ilvl="2">
      <w:start w:val="1"/>
      <w:numFmt w:val="bullet"/>
      <w:isLgl w:val="false"/>
      <w:suff w:val="tab"/>
      <w:lvlText w:val="§"/>
      <w:lvlJc w:val="left"/>
      <w:pPr>
        <w:ind w:left="2716" w:hanging="360"/>
      </w:pPr>
      <w:rPr>
        <w:rFonts w:hint="default" w:ascii="Wingdings" w:hAnsi="Wingdings" w:eastAsia="Wingdings" w:cs="Wingdings"/>
      </w:rPr>
    </w:lvl>
    <w:lvl w:ilvl="3">
      <w:start w:val="1"/>
      <w:numFmt w:val="bullet"/>
      <w:isLgl w:val="false"/>
      <w:suff w:val="tab"/>
      <w:lvlText w:val="·"/>
      <w:lvlJc w:val="left"/>
      <w:pPr>
        <w:ind w:left="3436" w:hanging="360"/>
      </w:pPr>
      <w:rPr>
        <w:rFonts w:hint="default" w:ascii="Symbol" w:hAnsi="Symbol" w:eastAsia="Symbol" w:cs="Symbol"/>
      </w:rPr>
    </w:lvl>
    <w:lvl w:ilvl="4">
      <w:start w:val="1"/>
      <w:numFmt w:val="bullet"/>
      <w:isLgl w:val="false"/>
      <w:suff w:val="tab"/>
      <w:lvlText w:val="o"/>
      <w:lvlJc w:val="left"/>
      <w:pPr>
        <w:ind w:left="4156" w:hanging="360"/>
      </w:pPr>
      <w:rPr>
        <w:rFonts w:hint="default" w:ascii="Courier New" w:hAnsi="Courier New" w:eastAsia="Courier New" w:cs="Courier New"/>
      </w:rPr>
    </w:lvl>
    <w:lvl w:ilvl="5">
      <w:start w:val="1"/>
      <w:numFmt w:val="bullet"/>
      <w:isLgl w:val="false"/>
      <w:suff w:val="tab"/>
      <w:lvlText w:val="§"/>
      <w:lvlJc w:val="left"/>
      <w:pPr>
        <w:ind w:left="4876" w:hanging="360"/>
      </w:pPr>
      <w:rPr>
        <w:rFonts w:hint="default" w:ascii="Wingdings" w:hAnsi="Wingdings" w:eastAsia="Wingdings" w:cs="Wingdings"/>
      </w:rPr>
    </w:lvl>
    <w:lvl w:ilvl="6">
      <w:start w:val="1"/>
      <w:numFmt w:val="bullet"/>
      <w:isLgl w:val="false"/>
      <w:suff w:val="tab"/>
      <w:lvlText w:val="·"/>
      <w:lvlJc w:val="left"/>
      <w:pPr>
        <w:ind w:left="5596" w:hanging="360"/>
      </w:pPr>
      <w:rPr>
        <w:rFonts w:hint="default" w:ascii="Symbol" w:hAnsi="Symbol" w:eastAsia="Symbol" w:cs="Symbol"/>
      </w:rPr>
    </w:lvl>
    <w:lvl w:ilvl="7">
      <w:start w:val="1"/>
      <w:numFmt w:val="bullet"/>
      <w:isLgl w:val="false"/>
      <w:suff w:val="tab"/>
      <w:lvlText w:val="o"/>
      <w:lvlJc w:val="left"/>
      <w:pPr>
        <w:ind w:left="6316" w:hanging="360"/>
      </w:pPr>
      <w:rPr>
        <w:rFonts w:hint="default" w:ascii="Courier New" w:hAnsi="Courier New" w:eastAsia="Courier New" w:cs="Courier New"/>
      </w:rPr>
    </w:lvl>
    <w:lvl w:ilvl="8">
      <w:start w:val="1"/>
      <w:numFmt w:val="bullet"/>
      <w:isLgl w:val="false"/>
      <w:suff w:val="tab"/>
      <w:lvlText w:val="§"/>
      <w:lvlJc w:val="left"/>
      <w:pPr>
        <w:ind w:left="7036"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709" w:hanging="360"/>
      </w:pPr>
      <w:rPr>
        <w:rFonts w:hint="default" w:ascii="Symbol" w:hAnsi="Symbol" w:eastAsia="Symbol" w:cs="Symbol"/>
        <w:color w:val="1c1c21"/>
        <w:spacing w:val="10"/>
        <w:sz w:val="24"/>
      </w:rPr>
    </w:lvl>
    <w:lvl w:ilvl="1">
      <w:start w:val="1"/>
      <w:numFmt w:val="bullet"/>
      <w:isLgl w:val="false"/>
      <w:suff w:val="tab"/>
      <w:lvlText w:val="·"/>
      <w:lvlJc w:val="left"/>
      <w:pPr>
        <w:ind w:left="1429" w:hanging="360"/>
      </w:pPr>
      <w:rPr>
        <w:rFonts w:hint="default" w:ascii="Symbol" w:hAnsi="Symbol" w:eastAsia="Symbol" w:cs="Symbol"/>
        <w:color w:val="1c1c21"/>
        <w:spacing w:val="10"/>
        <w:sz w:val="24"/>
      </w:rPr>
    </w:lvl>
    <w:lvl w:ilvl="2">
      <w:start w:val="1"/>
      <w:numFmt w:val="bullet"/>
      <w:isLgl w:val="false"/>
      <w:suff w:val="tab"/>
      <w:lvlText w:val="·"/>
      <w:lvlJc w:val="left"/>
      <w:pPr>
        <w:ind w:left="2149" w:hanging="360"/>
      </w:pPr>
      <w:rPr>
        <w:rFonts w:hint="default" w:ascii="Symbol" w:hAnsi="Symbol" w:eastAsia="Symbol" w:cs="Symbol"/>
        <w:color w:val="1c1c21"/>
        <w:spacing w:val="10"/>
        <w:sz w:val="24"/>
      </w:rPr>
    </w:lvl>
    <w:lvl w:ilvl="3">
      <w:start w:val="1"/>
      <w:numFmt w:val="bullet"/>
      <w:isLgl w:val="false"/>
      <w:suff w:val="tab"/>
      <w:lvlText w:val="·"/>
      <w:lvlJc w:val="left"/>
      <w:pPr>
        <w:ind w:left="2869" w:hanging="360"/>
      </w:pPr>
      <w:rPr>
        <w:rFonts w:hint="default" w:ascii="Symbol" w:hAnsi="Symbol" w:eastAsia="Symbol" w:cs="Symbol"/>
        <w:color w:val="1c1c21"/>
        <w:spacing w:val="10"/>
        <w:sz w:val="24"/>
      </w:rPr>
    </w:lvl>
    <w:lvl w:ilvl="4">
      <w:start w:val="1"/>
      <w:numFmt w:val="bullet"/>
      <w:isLgl w:val="false"/>
      <w:suff w:val="tab"/>
      <w:lvlText w:val="·"/>
      <w:lvlJc w:val="left"/>
      <w:pPr>
        <w:ind w:left="3589" w:hanging="360"/>
      </w:pPr>
      <w:rPr>
        <w:rFonts w:hint="default" w:ascii="Symbol" w:hAnsi="Symbol" w:eastAsia="Symbol" w:cs="Symbol"/>
        <w:color w:val="1c1c21"/>
        <w:spacing w:val="10"/>
        <w:sz w:val="24"/>
      </w:rPr>
    </w:lvl>
    <w:lvl w:ilvl="5">
      <w:start w:val="1"/>
      <w:numFmt w:val="bullet"/>
      <w:isLgl w:val="false"/>
      <w:suff w:val="tab"/>
      <w:lvlText w:val="·"/>
      <w:lvlJc w:val="left"/>
      <w:pPr>
        <w:ind w:left="4309" w:hanging="360"/>
      </w:pPr>
      <w:rPr>
        <w:rFonts w:hint="default" w:ascii="Symbol" w:hAnsi="Symbol" w:eastAsia="Symbol" w:cs="Symbol"/>
        <w:color w:val="1c1c21"/>
        <w:spacing w:val="10"/>
        <w:sz w:val="24"/>
      </w:rPr>
    </w:lvl>
    <w:lvl w:ilvl="6">
      <w:start w:val="1"/>
      <w:numFmt w:val="bullet"/>
      <w:isLgl w:val="false"/>
      <w:suff w:val="tab"/>
      <w:lvlText w:val="·"/>
      <w:lvlJc w:val="left"/>
      <w:pPr>
        <w:ind w:left="5029" w:hanging="360"/>
      </w:pPr>
      <w:rPr>
        <w:rFonts w:hint="default" w:ascii="Symbol" w:hAnsi="Symbol" w:eastAsia="Symbol" w:cs="Symbol"/>
        <w:color w:val="1c1c21"/>
        <w:spacing w:val="10"/>
        <w:sz w:val="24"/>
      </w:rPr>
    </w:lvl>
    <w:lvl w:ilvl="7">
      <w:start w:val="1"/>
      <w:numFmt w:val="bullet"/>
      <w:isLgl w:val="false"/>
      <w:suff w:val="tab"/>
      <w:lvlText w:val="·"/>
      <w:lvlJc w:val="left"/>
      <w:pPr>
        <w:ind w:left="5749" w:hanging="360"/>
      </w:pPr>
      <w:rPr>
        <w:rFonts w:hint="default" w:ascii="Symbol" w:hAnsi="Symbol" w:eastAsia="Symbol" w:cs="Symbol"/>
        <w:color w:val="1c1c21"/>
        <w:spacing w:val="10"/>
        <w:sz w:val="24"/>
      </w:rPr>
    </w:lvl>
    <w:lvl w:ilvl="8">
      <w:start w:val="1"/>
      <w:numFmt w:val="bullet"/>
      <w:isLgl w:val="false"/>
      <w:suff w:val="tab"/>
      <w:lvlText w:val="·"/>
      <w:lvlJc w:val="left"/>
      <w:pPr>
        <w:ind w:left="6469" w:hanging="360"/>
      </w:pPr>
      <w:rPr>
        <w:rFonts w:hint="default" w:ascii="Symbol" w:hAnsi="Symbol" w:eastAsia="Symbol" w:cs="Symbol"/>
        <w:color w:val="1c1c21"/>
        <w:spacing w:val="10"/>
        <w:sz w:val="24"/>
      </w:rPr>
    </w:lvl>
  </w:abstractNum>
  <w:abstractNum w:abstractNumId="6">
    <w:multiLevelType w:val="hybridMultilevel"/>
    <w:lvl w:ilvl="0">
      <w:start w:val="1"/>
      <w:numFmt w:val="decimal"/>
      <w:isLgl w:val="false"/>
      <w:suff w:val="tab"/>
      <w:lvlText w:val="%1."/>
      <w:lvlJc w:val="right"/>
      <w:pPr>
        <w:ind w:left="709" w:hanging="360"/>
      </w:pPr>
      <w:rPr>
        <w:rFonts w:ascii="Roboto" w:hAnsi="Roboto" w:eastAsia="Roboto" w:cs="Roboto"/>
        <w:color w:val="1c1c21"/>
        <w:spacing w:val="10"/>
        <w:sz w:val="24"/>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7">
    <w:multiLevelType w:val="hybridMultilevel"/>
    <w:lvl w:ilvl="0">
      <w:start w:val="1"/>
      <w:numFmt w:val="bullet"/>
      <w:isLgl w:val="false"/>
      <w:suff w:val="tab"/>
      <w:lvlText w:val="·"/>
      <w:lvlJc w:val="left"/>
      <w:pPr>
        <w:ind w:left="709" w:hanging="360"/>
      </w:pPr>
      <w:rPr>
        <w:rFonts w:hint="default" w:ascii="Symbol" w:hAnsi="Symbol" w:eastAsia="Symbol" w:cs="Symbol"/>
        <w:color w:val="1c1c21"/>
        <w:spacing w:val="10"/>
        <w:sz w:val="24"/>
      </w:rPr>
    </w:lvl>
    <w:lvl w:ilvl="1">
      <w:start w:val="1"/>
      <w:numFmt w:val="bullet"/>
      <w:isLgl w:val="false"/>
      <w:suff w:val="tab"/>
      <w:lvlText w:val="·"/>
      <w:lvlJc w:val="left"/>
      <w:pPr>
        <w:ind w:left="1429" w:hanging="360"/>
      </w:pPr>
      <w:rPr>
        <w:rFonts w:hint="default" w:ascii="Symbol" w:hAnsi="Symbol" w:eastAsia="Symbol" w:cs="Symbol"/>
        <w:color w:val="1c1c21"/>
        <w:spacing w:val="10"/>
        <w:sz w:val="24"/>
      </w:rPr>
    </w:lvl>
    <w:lvl w:ilvl="2">
      <w:start w:val="1"/>
      <w:numFmt w:val="bullet"/>
      <w:isLgl w:val="false"/>
      <w:suff w:val="tab"/>
      <w:lvlText w:val="·"/>
      <w:lvlJc w:val="left"/>
      <w:pPr>
        <w:ind w:left="2149" w:hanging="360"/>
      </w:pPr>
      <w:rPr>
        <w:rFonts w:hint="default" w:ascii="Symbol" w:hAnsi="Symbol" w:eastAsia="Symbol" w:cs="Symbol"/>
        <w:color w:val="1c1c21"/>
        <w:spacing w:val="10"/>
        <w:sz w:val="24"/>
      </w:rPr>
    </w:lvl>
    <w:lvl w:ilvl="3">
      <w:start w:val="1"/>
      <w:numFmt w:val="bullet"/>
      <w:isLgl w:val="false"/>
      <w:suff w:val="tab"/>
      <w:lvlText w:val="·"/>
      <w:lvlJc w:val="left"/>
      <w:pPr>
        <w:ind w:left="2869" w:hanging="360"/>
      </w:pPr>
      <w:rPr>
        <w:rFonts w:hint="default" w:ascii="Symbol" w:hAnsi="Symbol" w:eastAsia="Symbol" w:cs="Symbol"/>
        <w:color w:val="1c1c21"/>
        <w:spacing w:val="10"/>
        <w:sz w:val="24"/>
      </w:rPr>
    </w:lvl>
    <w:lvl w:ilvl="4">
      <w:start w:val="1"/>
      <w:numFmt w:val="bullet"/>
      <w:isLgl w:val="false"/>
      <w:suff w:val="tab"/>
      <w:lvlText w:val="·"/>
      <w:lvlJc w:val="left"/>
      <w:pPr>
        <w:ind w:left="3589" w:hanging="360"/>
      </w:pPr>
      <w:rPr>
        <w:rFonts w:hint="default" w:ascii="Symbol" w:hAnsi="Symbol" w:eastAsia="Symbol" w:cs="Symbol"/>
        <w:color w:val="1c1c21"/>
        <w:spacing w:val="10"/>
        <w:sz w:val="24"/>
      </w:rPr>
    </w:lvl>
    <w:lvl w:ilvl="5">
      <w:start w:val="1"/>
      <w:numFmt w:val="bullet"/>
      <w:isLgl w:val="false"/>
      <w:suff w:val="tab"/>
      <w:lvlText w:val="·"/>
      <w:lvlJc w:val="left"/>
      <w:pPr>
        <w:ind w:left="4309" w:hanging="360"/>
      </w:pPr>
      <w:rPr>
        <w:rFonts w:hint="default" w:ascii="Symbol" w:hAnsi="Symbol" w:eastAsia="Symbol" w:cs="Symbol"/>
        <w:color w:val="1c1c21"/>
        <w:spacing w:val="10"/>
        <w:sz w:val="24"/>
      </w:rPr>
    </w:lvl>
    <w:lvl w:ilvl="6">
      <w:start w:val="1"/>
      <w:numFmt w:val="bullet"/>
      <w:isLgl w:val="false"/>
      <w:suff w:val="tab"/>
      <w:lvlText w:val="·"/>
      <w:lvlJc w:val="left"/>
      <w:pPr>
        <w:ind w:left="5029" w:hanging="360"/>
      </w:pPr>
      <w:rPr>
        <w:rFonts w:hint="default" w:ascii="Symbol" w:hAnsi="Symbol" w:eastAsia="Symbol" w:cs="Symbol"/>
        <w:color w:val="1c1c21"/>
        <w:spacing w:val="10"/>
        <w:sz w:val="24"/>
      </w:rPr>
    </w:lvl>
    <w:lvl w:ilvl="7">
      <w:start w:val="1"/>
      <w:numFmt w:val="bullet"/>
      <w:isLgl w:val="false"/>
      <w:suff w:val="tab"/>
      <w:lvlText w:val="·"/>
      <w:lvlJc w:val="left"/>
      <w:pPr>
        <w:ind w:left="5749" w:hanging="360"/>
      </w:pPr>
      <w:rPr>
        <w:rFonts w:hint="default" w:ascii="Symbol" w:hAnsi="Symbol" w:eastAsia="Symbol" w:cs="Symbol"/>
        <w:color w:val="1c1c21"/>
        <w:spacing w:val="10"/>
        <w:sz w:val="24"/>
      </w:rPr>
    </w:lvl>
    <w:lvl w:ilvl="8">
      <w:start w:val="1"/>
      <w:numFmt w:val="bullet"/>
      <w:isLgl w:val="false"/>
      <w:suff w:val="tab"/>
      <w:lvlText w:val="·"/>
      <w:lvlJc w:val="left"/>
      <w:pPr>
        <w:ind w:left="6469" w:hanging="360"/>
      </w:pPr>
      <w:rPr>
        <w:rFonts w:hint="default" w:ascii="Symbol" w:hAnsi="Symbol" w:eastAsia="Symbol" w:cs="Symbol"/>
        <w:color w:val="1c1c21"/>
        <w:spacing w:val="10"/>
        <w:sz w:val="24"/>
      </w:rPr>
    </w:lvl>
  </w:abstractNum>
  <w:abstractNum w:abstractNumId="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9">
    <w:multiLevelType w:val="hybridMultilevel"/>
    <w:lvl w:ilvl="0">
      <w:start w:val="1"/>
      <w:numFmt w:val="bullet"/>
      <w:isLgl w:val="false"/>
      <w:suff w:val="tab"/>
      <w:lvlText w:val="Ø"/>
      <w:lvlJc w:val="left"/>
      <w:pPr>
        <w:ind w:left="709" w:hanging="360"/>
      </w:pPr>
      <w:rPr>
        <w:rFonts w:ascii="Wingdings" w:hAnsi="Wingdings" w:eastAsia="Wingdings" w:cs="Wingdings"/>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Ø"/>
      <w:lvlJc w:val="left"/>
      <w:pPr>
        <w:ind w:left="709" w:hanging="360"/>
      </w:pPr>
      <w:rPr>
        <w:rFonts w:ascii="Wingdings" w:hAnsi="Wingdings" w:eastAsia="Wingdings" w:cs="Wingdings"/>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6">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1"/>
      <w:numFmt w:val="bullet"/>
      <w:isLgl w:val="false"/>
      <w:suff w:val="tab"/>
      <w:lvlText w:val="Ø"/>
      <w:lvlJc w:val="left"/>
      <w:pPr>
        <w:ind w:left="1276" w:hanging="360"/>
      </w:pPr>
      <w:rPr>
        <w:rFonts w:ascii="Wingdings" w:hAnsi="Wingdings" w:eastAsia="Wingdings" w:cs="Wingdings"/>
      </w:rPr>
    </w:lvl>
    <w:lvl w:ilvl="1">
      <w:start w:val="1"/>
      <w:numFmt w:val="bullet"/>
      <w:isLgl w:val="false"/>
      <w:suff w:val="tab"/>
      <w:lvlText w:val="o"/>
      <w:lvlJc w:val="left"/>
      <w:pPr>
        <w:ind w:left="1996" w:hanging="360"/>
      </w:pPr>
      <w:rPr>
        <w:rFonts w:hint="default" w:ascii="Courier New" w:hAnsi="Courier New" w:eastAsia="Courier New" w:cs="Courier New"/>
      </w:rPr>
    </w:lvl>
    <w:lvl w:ilvl="2">
      <w:start w:val="1"/>
      <w:numFmt w:val="bullet"/>
      <w:isLgl w:val="false"/>
      <w:suff w:val="tab"/>
      <w:lvlText w:val="§"/>
      <w:lvlJc w:val="left"/>
      <w:pPr>
        <w:ind w:left="2716" w:hanging="360"/>
      </w:pPr>
      <w:rPr>
        <w:rFonts w:hint="default" w:ascii="Wingdings" w:hAnsi="Wingdings" w:eastAsia="Wingdings" w:cs="Wingdings"/>
      </w:rPr>
    </w:lvl>
    <w:lvl w:ilvl="3">
      <w:start w:val="1"/>
      <w:numFmt w:val="bullet"/>
      <w:isLgl w:val="false"/>
      <w:suff w:val="tab"/>
      <w:lvlText w:val="·"/>
      <w:lvlJc w:val="left"/>
      <w:pPr>
        <w:ind w:left="3436" w:hanging="360"/>
      </w:pPr>
      <w:rPr>
        <w:rFonts w:hint="default" w:ascii="Symbol" w:hAnsi="Symbol" w:eastAsia="Symbol" w:cs="Symbol"/>
      </w:rPr>
    </w:lvl>
    <w:lvl w:ilvl="4">
      <w:start w:val="1"/>
      <w:numFmt w:val="bullet"/>
      <w:isLgl w:val="false"/>
      <w:suff w:val="tab"/>
      <w:lvlText w:val="o"/>
      <w:lvlJc w:val="left"/>
      <w:pPr>
        <w:ind w:left="4156" w:hanging="360"/>
      </w:pPr>
      <w:rPr>
        <w:rFonts w:hint="default" w:ascii="Courier New" w:hAnsi="Courier New" w:eastAsia="Courier New" w:cs="Courier New"/>
      </w:rPr>
    </w:lvl>
    <w:lvl w:ilvl="5">
      <w:start w:val="1"/>
      <w:numFmt w:val="bullet"/>
      <w:isLgl w:val="false"/>
      <w:suff w:val="tab"/>
      <w:lvlText w:val="§"/>
      <w:lvlJc w:val="left"/>
      <w:pPr>
        <w:ind w:left="4876" w:hanging="360"/>
      </w:pPr>
      <w:rPr>
        <w:rFonts w:hint="default" w:ascii="Wingdings" w:hAnsi="Wingdings" w:eastAsia="Wingdings" w:cs="Wingdings"/>
      </w:rPr>
    </w:lvl>
    <w:lvl w:ilvl="6">
      <w:start w:val="1"/>
      <w:numFmt w:val="bullet"/>
      <w:isLgl w:val="false"/>
      <w:suff w:val="tab"/>
      <w:lvlText w:val="·"/>
      <w:lvlJc w:val="left"/>
      <w:pPr>
        <w:ind w:left="5596" w:hanging="360"/>
      </w:pPr>
      <w:rPr>
        <w:rFonts w:hint="default" w:ascii="Symbol" w:hAnsi="Symbol" w:eastAsia="Symbol" w:cs="Symbol"/>
      </w:rPr>
    </w:lvl>
    <w:lvl w:ilvl="7">
      <w:start w:val="1"/>
      <w:numFmt w:val="bullet"/>
      <w:isLgl w:val="false"/>
      <w:suff w:val="tab"/>
      <w:lvlText w:val="o"/>
      <w:lvlJc w:val="left"/>
      <w:pPr>
        <w:ind w:left="6316" w:hanging="360"/>
      </w:pPr>
      <w:rPr>
        <w:rFonts w:hint="default" w:ascii="Courier New" w:hAnsi="Courier New" w:eastAsia="Courier New" w:cs="Courier New"/>
      </w:rPr>
    </w:lvl>
    <w:lvl w:ilvl="8">
      <w:start w:val="1"/>
      <w:numFmt w:val="bullet"/>
      <w:isLgl w:val="false"/>
      <w:suff w:val="tab"/>
      <w:lvlText w:val="§"/>
      <w:lvlJc w:val="left"/>
      <w:pPr>
        <w:ind w:left="7036"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709" w:hanging="360"/>
      </w:pPr>
      <w:rPr>
        <w:rFonts w:hint="default" w:ascii="Symbol" w:hAnsi="Symbol" w:eastAsia="Symbol" w:cs="Symbol"/>
        <w:color w:val="1c1c21"/>
        <w:spacing w:val="10"/>
        <w:sz w:val="24"/>
      </w:rPr>
    </w:lvl>
    <w:lvl w:ilvl="1">
      <w:start w:val="1"/>
      <w:numFmt w:val="bullet"/>
      <w:isLgl w:val="false"/>
      <w:suff w:val="tab"/>
      <w:lvlText w:val="·"/>
      <w:lvlJc w:val="left"/>
      <w:pPr>
        <w:ind w:left="1429" w:hanging="360"/>
      </w:pPr>
      <w:rPr>
        <w:rFonts w:hint="default" w:ascii="Symbol" w:hAnsi="Symbol" w:eastAsia="Symbol" w:cs="Symbol"/>
        <w:color w:val="1c1c21"/>
        <w:spacing w:val="10"/>
        <w:sz w:val="24"/>
      </w:rPr>
    </w:lvl>
    <w:lvl w:ilvl="2">
      <w:start w:val="1"/>
      <w:numFmt w:val="bullet"/>
      <w:isLgl w:val="false"/>
      <w:suff w:val="tab"/>
      <w:lvlText w:val="·"/>
      <w:lvlJc w:val="left"/>
      <w:pPr>
        <w:ind w:left="2149" w:hanging="360"/>
      </w:pPr>
      <w:rPr>
        <w:rFonts w:hint="default" w:ascii="Symbol" w:hAnsi="Symbol" w:eastAsia="Symbol" w:cs="Symbol"/>
        <w:color w:val="1c1c21"/>
        <w:spacing w:val="10"/>
        <w:sz w:val="24"/>
      </w:rPr>
    </w:lvl>
    <w:lvl w:ilvl="3">
      <w:start w:val="1"/>
      <w:numFmt w:val="bullet"/>
      <w:isLgl w:val="false"/>
      <w:suff w:val="tab"/>
      <w:lvlText w:val="·"/>
      <w:lvlJc w:val="left"/>
      <w:pPr>
        <w:ind w:left="2869" w:hanging="360"/>
      </w:pPr>
      <w:rPr>
        <w:rFonts w:hint="default" w:ascii="Symbol" w:hAnsi="Symbol" w:eastAsia="Symbol" w:cs="Symbol"/>
        <w:color w:val="1c1c21"/>
        <w:spacing w:val="10"/>
        <w:sz w:val="24"/>
      </w:rPr>
    </w:lvl>
    <w:lvl w:ilvl="4">
      <w:start w:val="1"/>
      <w:numFmt w:val="bullet"/>
      <w:isLgl w:val="false"/>
      <w:suff w:val="tab"/>
      <w:lvlText w:val="·"/>
      <w:lvlJc w:val="left"/>
      <w:pPr>
        <w:ind w:left="3589" w:hanging="360"/>
      </w:pPr>
      <w:rPr>
        <w:rFonts w:hint="default" w:ascii="Symbol" w:hAnsi="Symbol" w:eastAsia="Symbol" w:cs="Symbol"/>
        <w:color w:val="1c1c21"/>
        <w:spacing w:val="10"/>
        <w:sz w:val="24"/>
      </w:rPr>
    </w:lvl>
    <w:lvl w:ilvl="5">
      <w:start w:val="1"/>
      <w:numFmt w:val="bullet"/>
      <w:isLgl w:val="false"/>
      <w:suff w:val="tab"/>
      <w:lvlText w:val="·"/>
      <w:lvlJc w:val="left"/>
      <w:pPr>
        <w:ind w:left="4309" w:hanging="360"/>
      </w:pPr>
      <w:rPr>
        <w:rFonts w:hint="default" w:ascii="Symbol" w:hAnsi="Symbol" w:eastAsia="Symbol" w:cs="Symbol"/>
        <w:color w:val="1c1c21"/>
        <w:spacing w:val="10"/>
        <w:sz w:val="24"/>
      </w:rPr>
    </w:lvl>
    <w:lvl w:ilvl="6">
      <w:start w:val="1"/>
      <w:numFmt w:val="bullet"/>
      <w:isLgl w:val="false"/>
      <w:suff w:val="tab"/>
      <w:lvlText w:val="·"/>
      <w:lvlJc w:val="left"/>
      <w:pPr>
        <w:ind w:left="5029" w:hanging="360"/>
      </w:pPr>
      <w:rPr>
        <w:rFonts w:hint="default" w:ascii="Symbol" w:hAnsi="Symbol" w:eastAsia="Symbol" w:cs="Symbol"/>
        <w:color w:val="1c1c21"/>
        <w:spacing w:val="10"/>
        <w:sz w:val="24"/>
      </w:rPr>
    </w:lvl>
    <w:lvl w:ilvl="7">
      <w:start w:val="1"/>
      <w:numFmt w:val="bullet"/>
      <w:isLgl w:val="false"/>
      <w:suff w:val="tab"/>
      <w:lvlText w:val="·"/>
      <w:lvlJc w:val="left"/>
      <w:pPr>
        <w:ind w:left="5749" w:hanging="360"/>
      </w:pPr>
      <w:rPr>
        <w:rFonts w:hint="default" w:ascii="Symbol" w:hAnsi="Symbol" w:eastAsia="Symbol" w:cs="Symbol"/>
        <w:color w:val="1c1c21"/>
        <w:spacing w:val="10"/>
        <w:sz w:val="24"/>
      </w:rPr>
    </w:lvl>
    <w:lvl w:ilvl="8">
      <w:start w:val="1"/>
      <w:numFmt w:val="bullet"/>
      <w:isLgl w:val="false"/>
      <w:suff w:val="tab"/>
      <w:lvlText w:val="·"/>
      <w:lvlJc w:val="left"/>
      <w:pPr>
        <w:ind w:left="6469" w:hanging="360"/>
      </w:pPr>
      <w:rPr>
        <w:rFonts w:hint="default" w:ascii="Symbol" w:hAnsi="Symbol" w:eastAsia="Symbol" w:cs="Symbol"/>
        <w:color w:val="1c1c21"/>
        <w:spacing w:val="10"/>
        <w:sz w:val="24"/>
      </w:rPr>
    </w:lvl>
  </w:abstractNum>
  <w:abstractNum w:abstractNumId="2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1">
    <w:multiLevelType w:val="hybridMultilevel"/>
    <w:lvl w:ilvl="0">
      <w:start w:val="1"/>
      <w:numFmt w:val="bullet"/>
      <w:isLgl w:val="false"/>
      <w:suff w:val="tab"/>
      <w:lvlText w:val="Ø"/>
      <w:lvlJc w:val="left"/>
      <w:pPr>
        <w:ind w:left="709" w:hanging="360"/>
      </w:pPr>
      <w:rPr>
        <w:rFonts w:ascii="Wingdings" w:hAnsi="Wingdings" w:eastAsia="Wingdings" w:cs="Wingdings"/>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
      <w:lvlJc w:val="left"/>
      <w:pPr>
        <w:ind w:left="709" w:hanging="360"/>
      </w:pPr>
      <w:rPr>
        <w:rFonts w:hint="default" w:ascii="Symbol" w:hAnsi="Symbol" w:eastAsia="Symbol" w:cs="Symbol"/>
        <w:color w:val="080808"/>
        <w:spacing w:val="-5"/>
      </w:rPr>
    </w:lvl>
    <w:lvl w:ilvl="1">
      <w:start w:val="1"/>
      <w:numFmt w:val="bullet"/>
      <w:isLgl w:val="false"/>
      <w:suff w:val="tab"/>
      <w:lvlText w:val="·"/>
      <w:lvlJc w:val="left"/>
      <w:pPr>
        <w:ind w:left="1429" w:hanging="360"/>
      </w:pPr>
      <w:rPr>
        <w:rFonts w:hint="default" w:ascii="Symbol" w:hAnsi="Symbol" w:eastAsia="Symbol" w:cs="Symbol"/>
        <w:color w:val="080808"/>
        <w:spacing w:val="-5"/>
      </w:rPr>
    </w:lvl>
    <w:lvl w:ilvl="2">
      <w:start w:val="1"/>
      <w:numFmt w:val="bullet"/>
      <w:isLgl w:val="false"/>
      <w:suff w:val="tab"/>
      <w:lvlText w:val="·"/>
      <w:lvlJc w:val="left"/>
      <w:pPr>
        <w:ind w:left="2149" w:hanging="360"/>
      </w:pPr>
      <w:rPr>
        <w:rFonts w:hint="default" w:ascii="Symbol" w:hAnsi="Symbol" w:eastAsia="Symbol" w:cs="Symbol"/>
        <w:color w:val="080808"/>
        <w:spacing w:val="-5"/>
      </w:rPr>
    </w:lvl>
    <w:lvl w:ilvl="3">
      <w:start w:val="1"/>
      <w:numFmt w:val="bullet"/>
      <w:isLgl w:val="false"/>
      <w:suff w:val="tab"/>
      <w:lvlText w:val="·"/>
      <w:lvlJc w:val="left"/>
      <w:pPr>
        <w:ind w:left="2869" w:hanging="360"/>
      </w:pPr>
      <w:rPr>
        <w:rFonts w:hint="default" w:ascii="Symbol" w:hAnsi="Symbol" w:eastAsia="Symbol" w:cs="Symbol"/>
        <w:color w:val="080808"/>
        <w:spacing w:val="-5"/>
      </w:rPr>
    </w:lvl>
    <w:lvl w:ilvl="4">
      <w:start w:val="1"/>
      <w:numFmt w:val="bullet"/>
      <w:isLgl w:val="false"/>
      <w:suff w:val="tab"/>
      <w:lvlText w:val="·"/>
      <w:lvlJc w:val="left"/>
      <w:pPr>
        <w:ind w:left="3589" w:hanging="360"/>
      </w:pPr>
      <w:rPr>
        <w:rFonts w:hint="default" w:ascii="Symbol" w:hAnsi="Symbol" w:eastAsia="Symbol" w:cs="Symbol"/>
        <w:color w:val="080808"/>
        <w:spacing w:val="-5"/>
      </w:rPr>
    </w:lvl>
    <w:lvl w:ilvl="5">
      <w:start w:val="1"/>
      <w:numFmt w:val="bullet"/>
      <w:isLgl w:val="false"/>
      <w:suff w:val="tab"/>
      <w:lvlText w:val="·"/>
      <w:lvlJc w:val="left"/>
      <w:pPr>
        <w:ind w:left="4309" w:hanging="360"/>
      </w:pPr>
      <w:rPr>
        <w:rFonts w:hint="default" w:ascii="Symbol" w:hAnsi="Symbol" w:eastAsia="Symbol" w:cs="Symbol"/>
        <w:color w:val="080808"/>
        <w:spacing w:val="-5"/>
      </w:rPr>
    </w:lvl>
    <w:lvl w:ilvl="6">
      <w:start w:val="1"/>
      <w:numFmt w:val="bullet"/>
      <w:isLgl w:val="false"/>
      <w:suff w:val="tab"/>
      <w:lvlText w:val="·"/>
      <w:lvlJc w:val="left"/>
      <w:pPr>
        <w:ind w:left="5029" w:hanging="360"/>
      </w:pPr>
      <w:rPr>
        <w:rFonts w:hint="default" w:ascii="Symbol" w:hAnsi="Symbol" w:eastAsia="Symbol" w:cs="Symbol"/>
        <w:color w:val="080808"/>
        <w:spacing w:val="-5"/>
      </w:rPr>
    </w:lvl>
    <w:lvl w:ilvl="7">
      <w:start w:val="1"/>
      <w:numFmt w:val="bullet"/>
      <w:isLgl w:val="false"/>
      <w:suff w:val="tab"/>
      <w:lvlText w:val="·"/>
      <w:lvlJc w:val="left"/>
      <w:pPr>
        <w:ind w:left="5749" w:hanging="360"/>
      </w:pPr>
      <w:rPr>
        <w:rFonts w:hint="default" w:ascii="Symbol" w:hAnsi="Symbol" w:eastAsia="Symbol" w:cs="Symbol"/>
        <w:color w:val="080808"/>
        <w:spacing w:val="-5"/>
      </w:rPr>
    </w:lvl>
    <w:lvl w:ilvl="8">
      <w:start w:val="1"/>
      <w:numFmt w:val="bullet"/>
      <w:isLgl w:val="false"/>
      <w:suff w:val="tab"/>
      <w:lvlText w:val="·"/>
      <w:lvlJc w:val="left"/>
      <w:pPr>
        <w:ind w:left="6469" w:hanging="360"/>
      </w:pPr>
      <w:rPr>
        <w:rFonts w:hint="default" w:ascii="Symbol" w:hAnsi="Symbol" w:eastAsia="Symbol" w:cs="Symbol"/>
        <w:color w:val="080808"/>
        <w:spacing w:val="-5"/>
      </w:rPr>
    </w:lvl>
  </w:abstractNum>
  <w:abstractNum w:abstractNumId="23">
    <w:multiLevelType w:val="hybridMultilevel"/>
    <w:lvl w:ilvl="0">
      <w:start w:val="1"/>
      <w:numFmt w:val="bullet"/>
      <w:isLgl w:val="false"/>
      <w:suff w:val="tab"/>
      <w:lvlText w:val="·"/>
      <w:lvlJc w:val="left"/>
      <w:pPr>
        <w:ind w:left="709" w:hanging="360"/>
      </w:pPr>
      <w:rPr>
        <w:rFonts w:hint="default" w:ascii="Symbol" w:hAnsi="Symbol" w:eastAsia="Symbol" w:cs="Symbol"/>
        <w:color w:val="080808"/>
        <w:spacing w:val="-5"/>
      </w:rPr>
    </w:lvl>
    <w:lvl w:ilvl="1">
      <w:start w:val="1"/>
      <w:numFmt w:val="bullet"/>
      <w:isLgl w:val="false"/>
      <w:suff w:val="tab"/>
      <w:lvlText w:val="·"/>
      <w:lvlJc w:val="left"/>
      <w:pPr>
        <w:ind w:left="1429" w:hanging="360"/>
      </w:pPr>
      <w:rPr>
        <w:rFonts w:hint="default" w:ascii="Symbol" w:hAnsi="Symbol" w:eastAsia="Symbol" w:cs="Symbol"/>
        <w:color w:val="080808"/>
        <w:spacing w:val="-5"/>
      </w:rPr>
    </w:lvl>
    <w:lvl w:ilvl="2">
      <w:start w:val="1"/>
      <w:numFmt w:val="bullet"/>
      <w:isLgl w:val="false"/>
      <w:suff w:val="tab"/>
      <w:lvlText w:val="·"/>
      <w:lvlJc w:val="left"/>
      <w:pPr>
        <w:ind w:left="2149" w:hanging="360"/>
      </w:pPr>
      <w:rPr>
        <w:rFonts w:hint="default" w:ascii="Symbol" w:hAnsi="Symbol" w:eastAsia="Symbol" w:cs="Symbol"/>
        <w:color w:val="080808"/>
        <w:spacing w:val="-5"/>
      </w:rPr>
    </w:lvl>
    <w:lvl w:ilvl="3">
      <w:start w:val="1"/>
      <w:numFmt w:val="bullet"/>
      <w:isLgl w:val="false"/>
      <w:suff w:val="tab"/>
      <w:lvlText w:val="·"/>
      <w:lvlJc w:val="left"/>
      <w:pPr>
        <w:ind w:left="2869" w:hanging="360"/>
      </w:pPr>
      <w:rPr>
        <w:rFonts w:hint="default" w:ascii="Symbol" w:hAnsi="Symbol" w:eastAsia="Symbol" w:cs="Symbol"/>
        <w:color w:val="080808"/>
        <w:spacing w:val="-5"/>
      </w:rPr>
    </w:lvl>
    <w:lvl w:ilvl="4">
      <w:start w:val="1"/>
      <w:numFmt w:val="bullet"/>
      <w:isLgl w:val="false"/>
      <w:suff w:val="tab"/>
      <w:lvlText w:val="·"/>
      <w:lvlJc w:val="left"/>
      <w:pPr>
        <w:ind w:left="3589" w:hanging="360"/>
      </w:pPr>
      <w:rPr>
        <w:rFonts w:hint="default" w:ascii="Symbol" w:hAnsi="Symbol" w:eastAsia="Symbol" w:cs="Symbol"/>
        <w:color w:val="080808"/>
        <w:spacing w:val="-5"/>
      </w:rPr>
    </w:lvl>
    <w:lvl w:ilvl="5">
      <w:start w:val="1"/>
      <w:numFmt w:val="bullet"/>
      <w:isLgl w:val="false"/>
      <w:suff w:val="tab"/>
      <w:lvlText w:val="·"/>
      <w:lvlJc w:val="left"/>
      <w:pPr>
        <w:ind w:left="4309" w:hanging="360"/>
      </w:pPr>
      <w:rPr>
        <w:rFonts w:hint="default" w:ascii="Symbol" w:hAnsi="Symbol" w:eastAsia="Symbol" w:cs="Symbol"/>
        <w:color w:val="080808"/>
        <w:spacing w:val="-5"/>
      </w:rPr>
    </w:lvl>
    <w:lvl w:ilvl="6">
      <w:start w:val="1"/>
      <w:numFmt w:val="bullet"/>
      <w:isLgl w:val="false"/>
      <w:suff w:val="tab"/>
      <w:lvlText w:val="·"/>
      <w:lvlJc w:val="left"/>
      <w:pPr>
        <w:ind w:left="5029" w:hanging="360"/>
      </w:pPr>
      <w:rPr>
        <w:rFonts w:hint="default" w:ascii="Symbol" w:hAnsi="Symbol" w:eastAsia="Symbol" w:cs="Symbol"/>
        <w:color w:val="080808"/>
        <w:spacing w:val="-5"/>
      </w:rPr>
    </w:lvl>
    <w:lvl w:ilvl="7">
      <w:start w:val="1"/>
      <w:numFmt w:val="bullet"/>
      <w:isLgl w:val="false"/>
      <w:suff w:val="tab"/>
      <w:lvlText w:val="·"/>
      <w:lvlJc w:val="left"/>
      <w:pPr>
        <w:ind w:left="5749" w:hanging="360"/>
      </w:pPr>
      <w:rPr>
        <w:rFonts w:hint="default" w:ascii="Symbol" w:hAnsi="Symbol" w:eastAsia="Symbol" w:cs="Symbol"/>
        <w:color w:val="080808"/>
        <w:spacing w:val="-5"/>
      </w:rPr>
    </w:lvl>
    <w:lvl w:ilvl="8">
      <w:start w:val="1"/>
      <w:numFmt w:val="bullet"/>
      <w:isLgl w:val="false"/>
      <w:suff w:val="tab"/>
      <w:lvlText w:val="·"/>
      <w:lvlJc w:val="left"/>
      <w:pPr>
        <w:ind w:left="6469" w:hanging="360"/>
      </w:pPr>
      <w:rPr>
        <w:rFonts w:hint="default" w:ascii="Symbol" w:hAnsi="Symbol" w:eastAsia="Symbol" w:cs="Symbol"/>
        <w:color w:val="080808"/>
        <w:spacing w:val="-5"/>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916"/>
    <w:next w:val="916"/>
    <w:link w:val="741"/>
    <w:uiPriority w:val="9"/>
    <w:qFormat/>
    <w:pPr>
      <w:keepLines/>
      <w:keepNext/>
      <w:spacing w:before="480" w:after="200"/>
      <w:outlineLvl w:val="0"/>
    </w:pPr>
    <w:rPr>
      <w:rFonts w:ascii="Liberation Sans" w:hAnsi="Liberation Sans" w:eastAsia="Liberation Sans" w:cs="Liberation Sans"/>
      <w:sz w:val="40"/>
      <w:szCs w:val="40"/>
    </w:rPr>
  </w:style>
  <w:style w:type="character" w:styleId="741">
    <w:name w:val="Heading 1 Char"/>
    <w:link w:val="740"/>
    <w:uiPriority w:val="9"/>
    <w:rPr>
      <w:rFonts w:ascii="Liberation Sans" w:hAnsi="Liberation Sans" w:eastAsia="Liberation Sans" w:cs="Liberation Sans"/>
      <w:sz w:val="40"/>
      <w:szCs w:val="40"/>
    </w:rPr>
  </w:style>
  <w:style w:type="paragraph" w:styleId="742">
    <w:name w:val="Heading 2"/>
    <w:basedOn w:val="916"/>
    <w:next w:val="916"/>
    <w:link w:val="743"/>
    <w:uiPriority w:val="9"/>
    <w:unhideWhenUsed/>
    <w:qFormat/>
    <w:pPr>
      <w:keepLines/>
      <w:keepNext/>
      <w:spacing w:before="360" w:after="200"/>
      <w:outlineLvl w:val="1"/>
    </w:pPr>
    <w:rPr>
      <w:rFonts w:ascii="Liberation Sans" w:hAnsi="Liberation Sans" w:eastAsia="Liberation Sans" w:cs="Liberation Sans"/>
      <w:sz w:val="34"/>
    </w:rPr>
  </w:style>
  <w:style w:type="character" w:styleId="743">
    <w:name w:val="Heading 2 Char"/>
    <w:link w:val="742"/>
    <w:uiPriority w:val="9"/>
    <w:rPr>
      <w:rFonts w:ascii="Liberation Sans" w:hAnsi="Liberation Sans" w:eastAsia="Liberation Sans" w:cs="Liberation Sans"/>
      <w:sz w:val="34"/>
    </w:rPr>
  </w:style>
  <w:style w:type="paragraph" w:styleId="744">
    <w:name w:val="Heading 3"/>
    <w:basedOn w:val="916"/>
    <w:next w:val="916"/>
    <w:link w:val="745"/>
    <w:uiPriority w:val="9"/>
    <w:unhideWhenUsed/>
    <w:qFormat/>
    <w:pPr>
      <w:keepLines/>
      <w:keepNext/>
      <w:spacing w:before="320" w:after="200"/>
      <w:outlineLvl w:val="2"/>
    </w:pPr>
    <w:rPr>
      <w:rFonts w:ascii="Liberation Sans" w:hAnsi="Liberation Sans" w:eastAsia="Liberation Sans" w:cs="Liberation Sans"/>
      <w:sz w:val="30"/>
      <w:szCs w:val="30"/>
    </w:rPr>
  </w:style>
  <w:style w:type="character" w:styleId="745">
    <w:name w:val="Heading 3 Char"/>
    <w:link w:val="744"/>
    <w:uiPriority w:val="9"/>
    <w:rPr>
      <w:rFonts w:ascii="Liberation Sans" w:hAnsi="Liberation Sans" w:eastAsia="Liberation Sans" w:cs="Liberation Sans"/>
      <w:sz w:val="30"/>
      <w:szCs w:val="30"/>
    </w:rPr>
  </w:style>
  <w:style w:type="paragraph" w:styleId="746">
    <w:name w:val="Heading 4"/>
    <w:basedOn w:val="916"/>
    <w:next w:val="916"/>
    <w:link w:val="747"/>
    <w:uiPriority w:val="9"/>
    <w:unhideWhenUsed/>
    <w:qFormat/>
    <w:pPr>
      <w:keepLines/>
      <w:keepNext/>
      <w:spacing w:before="320" w:after="200"/>
      <w:outlineLvl w:val="3"/>
    </w:pPr>
    <w:rPr>
      <w:rFonts w:ascii="Liberation Sans" w:hAnsi="Liberation Sans" w:eastAsia="Liberation Sans" w:cs="Liberation Sans"/>
      <w:b/>
      <w:bCs/>
      <w:sz w:val="26"/>
      <w:szCs w:val="26"/>
    </w:rPr>
  </w:style>
  <w:style w:type="character" w:styleId="747">
    <w:name w:val="Heading 4 Char"/>
    <w:link w:val="746"/>
    <w:uiPriority w:val="9"/>
    <w:rPr>
      <w:rFonts w:ascii="Liberation Sans" w:hAnsi="Liberation Sans" w:eastAsia="Liberation Sans" w:cs="Liberation Sans"/>
      <w:b/>
      <w:bCs/>
      <w:sz w:val="26"/>
      <w:szCs w:val="26"/>
    </w:rPr>
  </w:style>
  <w:style w:type="paragraph" w:styleId="748">
    <w:name w:val="Heading 5"/>
    <w:basedOn w:val="916"/>
    <w:next w:val="916"/>
    <w:link w:val="749"/>
    <w:uiPriority w:val="9"/>
    <w:unhideWhenUsed/>
    <w:qFormat/>
    <w:pPr>
      <w:keepLines/>
      <w:keepNext/>
      <w:spacing w:before="320" w:after="200"/>
      <w:outlineLvl w:val="4"/>
    </w:pPr>
    <w:rPr>
      <w:rFonts w:ascii="Liberation Sans" w:hAnsi="Liberation Sans" w:eastAsia="Liberation Sans" w:cs="Liberation Sans"/>
      <w:b/>
      <w:bCs/>
      <w:sz w:val="24"/>
      <w:szCs w:val="24"/>
    </w:rPr>
  </w:style>
  <w:style w:type="character" w:styleId="749">
    <w:name w:val="Heading 5 Char"/>
    <w:link w:val="748"/>
    <w:uiPriority w:val="9"/>
    <w:rPr>
      <w:rFonts w:ascii="Liberation Sans" w:hAnsi="Liberation Sans" w:eastAsia="Liberation Sans" w:cs="Liberation Sans"/>
      <w:b/>
      <w:bCs/>
      <w:sz w:val="24"/>
      <w:szCs w:val="24"/>
    </w:rPr>
  </w:style>
  <w:style w:type="paragraph" w:styleId="750">
    <w:name w:val="Heading 6"/>
    <w:basedOn w:val="916"/>
    <w:next w:val="916"/>
    <w:link w:val="751"/>
    <w:uiPriority w:val="9"/>
    <w:unhideWhenUsed/>
    <w:qFormat/>
    <w:pPr>
      <w:keepLines/>
      <w:keepNext/>
      <w:spacing w:before="320" w:after="200"/>
      <w:outlineLvl w:val="5"/>
    </w:pPr>
    <w:rPr>
      <w:rFonts w:ascii="Liberation Sans" w:hAnsi="Liberation Sans" w:eastAsia="Liberation Sans" w:cs="Liberation Sans"/>
      <w:b/>
      <w:bCs/>
      <w:sz w:val="22"/>
      <w:szCs w:val="22"/>
    </w:rPr>
  </w:style>
  <w:style w:type="character" w:styleId="751">
    <w:name w:val="Heading 6 Char"/>
    <w:link w:val="750"/>
    <w:uiPriority w:val="9"/>
    <w:rPr>
      <w:rFonts w:ascii="Liberation Sans" w:hAnsi="Liberation Sans" w:eastAsia="Liberation Sans" w:cs="Liberation Sans"/>
      <w:b/>
      <w:bCs/>
      <w:sz w:val="22"/>
      <w:szCs w:val="22"/>
    </w:rPr>
  </w:style>
  <w:style w:type="paragraph" w:styleId="752">
    <w:name w:val="Heading 7"/>
    <w:basedOn w:val="916"/>
    <w:next w:val="916"/>
    <w:link w:val="753"/>
    <w:uiPriority w:val="9"/>
    <w:unhideWhenUsed/>
    <w:qFormat/>
    <w:pPr>
      <w:keepLines/>
      <w:keepNext/>
      <w:spacing w:before="320" w:after="200"/>
      <w:outlineLvl w:val="6"/>
    </w:pPr>
    <w:rPr>
      <w:rFonts w:ascii="Liberation Sans" w:hAnsi="Liberation Sans" w:eastAsia="Liberation Sans" w:cs="Liberation Sans"/>
      <w:b/>
      <w:bCs/>
      <w:i/>
      <w:iCs/>
      <w:sz w:val="22"/>
      <w:szCs w:val="22"/>
    </w:rPr>
  </w:style>
  <w:style w:type="character" w:styleId="753">
    <w:name w:val="Heading 7 Char"/>
    <w:link w:val="752"/>
    <w:uiPriority w:val="9"/>
    <w:rPr>
      <w:rFonts w:ascii="Liberation Sans" w:hAnsi="Liberation Sans" w:eastAsia="Liberation Sans" w:cs="Liberation Sans"/>
      <w:b/>
      <w:bCs/>
      <w:i/>
      <w:iCs/>
      <w:sz w:val="22"/>
      <w:szCs w:val="22"/>
    </w:rPr>
  </w:style>
  <w:style w:type="paragraph" w:styleId="754">
    <w:name w:val="Heading 8"/>
    <w:basedOn w:val="916"/>
    <w:next w:val="916"/>
    <w:link w:val="755"/>
    <w:uiPriority w:val="9"/>
    <w:unhideWhenUsed/>
    <w:qFormat/>
    <w:pPr>
      <w:keepLines/>
      <w:keepNext/>
      <w:spacing w:before="320" w:after="200"/>
      <w:outlineLvl w:val="7"/>
    </w:pPr>
    <w:rPr>
      <w:rFonts w:ascii="Liberation Sans" w:hAnsi="Liberation Sans" w:eastAsia="Liberation Sans" w:cs="Liberation Sans"/>
      <w:i/>
      <w:iCs/>
      <w:sz w:val="22"/>
      <w:szCs w:val="22"/>
    </w:rPr>
  </w:style>
  <w:style w:type="character" w:styleId="755">
    <w:name w:val="Heading 8 Char"/>
    <w:link w:val="754"/>
    <w:uiPriority w:val="9"/>
    <w:rPr>
      <w:rFonts w:ascii="Liberation Sans" w:hAnsi="Liberation Sans" w:eastAsia="Liberation Sans" w:cs="Liberation Sans"/>
      <w:i/>
      <w:iCs/>
      <w:sz w:val="22"/>
      <w:szCs w:val="22"/>
    </w:rPr>
  </w:style>
  <w:style w:type="paragraph" w:styleId="756">
    <w:name w:val="Heading 9"/>
    <w:basedOn w:val="916"/>
    <w:next w:val="916"/>
    <w:link w:val="757"/>
    <w:uiPriority w:val="9"/>
    <w:unhideWhenUsed/>
    <w:qFormat/>
    <w:pPr>
      <w:keepLines/>
      <w:keepNext/>
      <w:spacing w:before="320" w:after="200"/>
      <w:outlineLvl w:val="8"/>
    </w:pPr>
    <w:rPr>
      <w:rFonts w:ascii="Liberation Sans" w:hAnsi="Liberation Sans" w:eastAsia="Liberation Sans" w:cs="Liberation Sans"/>
      <w:i/>
      <w:iCs/>
      <w:sz w:val="21"/>
      <w:szCs w:val="21"/>
    </w:rPr>
  </w:style>
  <w:style w:type="character" w:styleId="757">
    <w:name w:val="Heading 9 Char"/>
    <w:link w:val="756"/>
    <w:uiPriority w:val="9"/>
    <w:rPr>
      <w:rFonts w:ascii="Liberation Sans" w:hAnsi="Liberation Sans" w:eastAsia="Liberation Sans" w:cs="Liberation Sans"/>
      <w:i/>
      <w:iCs/>
      <w:sz w:val="21"/>
      <w:szCs w:val="21"/>
    </w:rPr>
  </w:style>
  <w:style w:type="paragraph" w:styleId="758">
    <w:name w:val="Title"/>
    <w:basedOn w:val="916"/>
    <w:next w:val="916"/>
    <w:link w:val="759"/>
    <w:uiPriority w:val="10"/>
    <w:qFormat/>
    <w:pPr>
      <w:contextualSpacing/>
      <w:spacing w:before="300" w:after="200"/>
    </w:pPr>
    <w:rPr>
      <w:sz w:val="48"/>
      <w:szCs w:val="48"/>
    </w:rPr>
  </w:style>
  <w:style w:type="character" w:styleId="759">
    <w:name w:val="Title Char"/>
    <w:link w:val="758"/>
    <w:uiPriority w:val="10"/>
    <w:rPr>
      <w:sz w:val="48"/>
      <w:szCs w:val="48"/>
    </w:rPr>
  </w:style>
  <w:style w:type="paragraph" w:styleId="760">
    <w:name w:val="Subtitle"/>
    <w:basedOn w:val="916"/>
    <w:next w:val="916"/>
    <w:link w:val="761"/>
    <w:uiPriority w:val="11"/>
    <w:qFormat/>
    <w:pPr>
      <w:spacing w:before="200" w:after="200"/>
    </w:pPr>
    <w:rPr>
      <w:sz w:val="24"/>
      <w:szCs w:val="24"/>
    </w:rPr>
  </w:style>
  <w:style w:type="character" w:styleId="761">
    <w:name w:val="Subtitle Char"/>
    <w:link w:val="760"/>
    <w:uiPriority w:val="11"/>
    <w:rPr>
      <w:sz w:val="24"/>
      <w:szCs w:val="24"/>
    </w:rPr>
  </w:style>
  <w:style w:type="paragraph" w:styleId="762">
    <w:name w:val="Quote"/>
    <w:basedOn w:val="916"/>
    <w:next w:val="916"/>
    <w:link w:val="763"/>
    <w:uiPriority w:val="29"/>
    <w:qFormat/>
    <w:pPr>
      <w:ind w:left="720" w:right="720"/>
    </w:pPr>
    <w:rPr>
      <w:i/>
    </w:rPr>
  </w:style>
  <w:style w:type="character" w:styleId="763">
    <w:name w:val="Quote Char"/>
    <w:link w:val="762"/>
    <w:uiPriority w:val="29"/>
    <w:rPr>
      <w:i/>
    </w:rPr>
  </w:style>
  <w:style w:type="paragraph" w:styleId="764">
    <w:name w:val="Intense Quote"/>
    <w:basedOn w:val="916"/>
    <w:next w:val="916"/>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Header"/>
    <w:basedOn w:val="916"/>
    <w:link w:val="767"/>
    <w:uiPriority w:val="99"/>
    <w:unhideWhenUsed/>
    <w:pPr>
      <w:spacing w:after="0" w:line="240" w:lineRule="auto"/>
      <w:tabs>
        <w:tab w:val="center" w:pos="7143" w:leader="none"/>
        <w:tab w:val="right" w:pos="14287" w:leader="none"/>
      </w:tabs>
    </w:pPr>
  </w:style>
  <w:style w:type="character" w:styleId="767">
    <w:name w:val="Header Char"/>
    <w:link w:val="766"/>
    <w:uiPriority w:val="99"/>
  </w:style>
  <w:style w:type="paragraph" w:styleId="768">
    <w:name w:val="Footer"/>
    <w:basedOn w:val="916"/>
    <w:link w:val="769"/>
    <w:uiPriority w:val="99"/>
    <w:unhideWhenUsed/>
    <w:pPr>
      <w:spacing w:after="0" w:line="240" w:lineRule="auto"/>
      <w:tabs>
        <w:tab w:val="center" w:pos="7143" w:leader="none"/>
        <w:tab w:val="right" w:pos="14287" w:leader="none"/>
      </w:tabs>
    </w:pPr>
  </w:style>
  <w:style w:type="character" w:styleId="769">
    <w:name w:val="Footer Char"/>
    <w:link w:val="768"/>
    <w:uiPriority w:val="99"/>
  </w:style>
  <w:style w:type="paragraph" w:styleId="770">
    <w:name w:val="Caption"/>
    <w:basedOn w:val="916"/>
    <w:next w:val="916"/>
    <w:link w:val="771"/>
    <w:uiPriority w:val="35"/>
    <w:semiHidden/>
    <w:unhideWhenUsed/>
    <w:qFormat/>
    <w:pPr>
      <w:spacing w:line="276" w:lineRule="auto"/>
    </w:pPr>
    <w:rPr>
      <w:b/>
      <w:bCs/>
      <w:color w:val="4f81bd" w:themeColor="accent1"/>
      <w:sz w:val="18"/>
      <w:szCs w:val="18"/>
    </w:rPr>
  </w:style>
  <w:style w:type="character" w:styleId="771">
    <w:name w:val="Caption Char"/>
    <w:link w:val="770"/>
    <w:uiPriority w:val="35"/>
    <w:rPr>
      <w:b/>
      <w:bCs/>
      <w:color w:val="4f81bd" w:themeColor="accent1"/>
      <w:sz w:val="18"/>
      <w:szCs w:val="18"/>
    </w:rPr>
  </w:style>
  <w:style w:type="table" w:styleId="772">
    <w:name w:val="Table Grid"/>
    <w:basedOn w:val="91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Liberation Sans" w:hAnsi="Liberation Sans"/>
        <w:b/>
        <w:color w:val="404040"/>
        <w:sz w:val="22"/>
      </w:rPr>
    </w:tblStylePr>
    <w:tblStylePr w:type="firstRow">
      <w:rPr>
        <w:rFonts w:ascii="Liberation Sans" w:hAnsi="Liberation Sans"/>
        <w:b/>
        <w:color w:val="404040"/>
        <w:sz w:val="22"/>
      </w:r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775">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sz="4" w:space="0"/>
          <w:bottom w:val="single" w:color="000000" w:themeColor="text1"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776">
    <w:name w:val="Plain Table 3"/>
    <w:basedOn w:val="917"/>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7"/>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7"/>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Liberation Sans" w:hAnsi="Liberation Sans"/>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debf6" w:themeFill="accent1" w:themeFillTint="34"/>
      </w:tcPr>
    </w:tblStylePr>
    <w:tblStylePr w:type="band1Vert">
      <w:rPr>
        <w:rFonts w:ascii="Liberation Sans" w:hAnsi="Liberation Sans"/>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be5d6" w:themeFill="accent2" w:themeFillTint="32"/>
      </w:tcPr>
    </w:tblStylePr>
    <w:tblStylePr w:type="band1Vert">
      <w:rPr>
        <w:rFonts w:ascii="Liberation Sans" w:hAnsi="Liberation Sans"/>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deded" w:themeFill="accent3" w:themeFillTint="34"/>
      </w:tcPr>
    </w:tblStylePr>
    <w:tblStylePr w:type="band1Vert">
      <w:rPr>
        <w:rFonts w:ascii="Liberation Sans" w:hAnsi="Liberation Sans"/>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fef2cb" w:themeFill="accent4" w:themeFillTint="34"/>
      </w:tcPr>
    </w:tblStylePr>
    <w:tblStylePr w:type="band1Vert">
      <w:rPr>
        <w:rFonts w:ascii="Liberation Sans" w:hAnsi="Liberation Sans"/>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9e2f2" w:themeFill="accent5" w:themeFillTint="34"/>
      </w:tcPr>
    </w:tblStylePr>
    <w:tblStylePr w:type="band1Vert">
      <w:rPr>
        <w:rFonts w:ascii="Liberation Sans" w:hAnsi="Liberation Sans"/>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e2efd8" w:themeFill="accent6" w:themeFillTint="34"/>
      </w:tcPr>
    </w:tblStylePr>
    <w:tblStylePr w:type="band1Vert">
      <w:rPr>
        <w:rFonts w:ascii="Liberation Sans" w:hAnsi="Liberation Sans"/>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debf6" w:themeFill="accent1" w:themeFillTint="34"/>
      </w:tcPr>
    </w:tblStylePr>
    <w:tblStylePr w:type="band1Vert">
      <w:rPr>
        <w:rFonts w:ascii="Liberation Sans" w:hAnsi="Liberation Sans"/>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be5d6" w:themeFill="accent2" w:themeFillTint="32"/>
      </w:tcPr>
    </w:tblStylePr>
    <w:tblStylePr w:type="band1Vert">
      <w:rPr>
        <w:rFonts w:ascii="Liberation Sans" w:hAnsi="Liberation Sans"/>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deded" w:themeFill="accent3" w:themeFillTint="34"/>
      </w:tcPr>
    </w:tblStylePr>
    <w:tblStylePr w:type="band1Vert">
      <w:rPr>
        <w:rFonts w:ascii="Liberation Sans" w:hAnsi="Liberation Sans"/>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fef2cb" w:themeFill="accent4" w:themeFillTint="34"/>
      </w:tcPr>
    </w:tblStylePr>
    <w:tblStylePr w:type="band1Vert">
      <w:rPr>
        <w:rFonts w:ascii="Liberation Sans" w:hAnsi="Liberation Sans"/>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9e2f2" w:themeFill="accent5" w:themeFillTint="34"/>
      </w:tcPr>
    </w:tblStylePr>
    <w:tblStylePr w:type="band1Vert">
      <w:rPr>
        <w:rFonts w:ascii="Liberation Sans" w:hAnsi="Liberation Sans"/>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e2efd8" w:themeFill="accent6" w:themeFillTint="34"/>
      </w:tcPr>
    </w:tblStylePr>
    <w:tblStylePr w:type="band1Vert">
      <w:rPr>
        <w:rFonts w:ascii="Liberation Sans" w:hAnsi="Liberation Sans"/>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Liberation Sans" w:hAnsi="Liberation Sans"/>
        <w:color w:val="404040"/>
        <w:sz w:val="22"/>
      </w:rPr>
      <w:tcPr>
        <w:shd w:val="clear" w:color="ffffff" w:themeColor="accent1" w:themeTint="32" w:fill="dfebf6" w:themeFill="accent1" w:themeFillTint="32"/>
      </w:tcPr>
    </w:tblStylePr>
    <w:tblStylePr w:type="band1Vert">
      <w:rPr>
        <w:rFonts w:ascii="Liberation Sans" w:hAnsi="Liberation Sans"/>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Liberation Sans" w:hAnsi="Liberation Sans"/>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Liberation Sans" w:hAnsi="Liberation Sans"/>
        <w:color w:val="404040"/>
        <w:sz w:val="22"/>
      </w:rPr>
      <w:tcPr>
        <w:shd w:val="clear" w:color="ffffff" w:themeColor="accent2" w:themeTint="32" w:fill="fbe5d6" w:themeFill="accent2" w:themeFillTint="32"/>
      </w:tcPr>
    </w:tblStylePr>
    <w:tblStylePr w:type="band1Vert">
      <w:rPr>
        <w:rFonts w:ascii="Liberation Sans" w:hAnsi="Liberation Sans"/>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Liberation Sans" w:hAnsi="Liberation Sans"/>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Liberation Sans" w:hAnsi="Liberation Sans"/>
        <w:color w:val="404040"/>
        <w:sz w:val="22"/>
      </w:rPr>
      <w:tcPr>
        <w:shd w:val="clear" w:color="ffffff" w:themeColor="accent3" w:themeTint="34" w:fill="ededed" w:themeFill="accent3" w:themeFillTint="34"/>
      </w:tcPr>
    </w:tblStylePr>
    <w:tblStylePr w:type="band1Vert">
      <w:rPr>
        <w:rFonts w:ascii="Liberation Sans" w:hAnsi="Liberation Sans"/>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Liberation Sans" w:hAnsi="Liberation Sans"/>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Liberation Sans" w:hAnsi="Liberation Sans"/>
        <w:color w:val="404040"/>
        <w:sz w:val="22"/>
      </w:rPr>
      <w:tcPr>
        <w:shd w:val="clear" w:color="ffffff" w:themeColor="accent4" w:themeTint="34" w:fill="fef2cb" w:themeFill="accent4" w:themeFillTint="34"/>
      </w:tcPr>
    </w:tblStylePr>
    <w:tblStylePr w:type="band1Vert">
      <w:rPr>
        <w:rFonts w:ascii="Liberation Sans" w:hAnsi="Liberation Sans"/>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Liberation Sans" w:hAnsi="Liberation Sans"/>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404040"/>
        <w:sz w:val="22"/>
      </w:rPr>
      <w:tcPr>
        <w:shd w:val="clear" w:color="ffffff" w:themeColor="accent5" w:themeTint="34" w:fill="d9e2f2" w:themeFill="accent5" w:themeFillTint="34"/>
      </w:tcPr>
    </w:tblStylePr>
    <w:tblStylePr w:type="band1Vert">
      <w:rPr>
        <w:rFonts w:ascii="Liberation Sans" w:hAnsi="Liberation Sans"/>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Liberation Sans" w:hAnsi="Liberation Sans"/>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404040"/>
        <w:sz w:val="22"/>
      </w:rPr>
      <w:tcPr>
        <w:shd w:val="clear" w:color="ffffff" w:themeColor="accent6" w:themeTint="34" w:fill="e2efd8" w:themeFill="accent6" w:themeFillTint="34"/>
      </w:tcPr>
    </w:tblStylePr>
    <w:tblStylePr w:type="band1Vert">
      <w:rPr>
        <w:rFonts w:ascii="Liberation Sans" w:hAnsi="Liberation Sans"/>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Liberation Sans" w:hAnsi="Liberation Sans"/>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Liberation Sans" w:hAnsi="Liberation Sans"/>
        <w:b/>
        <w:color w:val="ffffff"/>
        <w:sz w:val="22"/>
      </w:rPr>
      <w:tcPr>
        <w:shd w:val="clear" w:color="ffffff" w:themeColor="text1" w:fill="000000" w:themeFill="text1"/>
      </w:tcPr>
    </w:tblStylePr>
    <w:tblStylePr w:type="firstRow">
      <w:rPr>
        <w:rFonts w:ascii="Liberation Sans" w:hAnsi="Liberation Sans"/>
        <w:b/>
        <w:color w:val="ffffff"/>
        <w:sz w:val="22"/>
      </w:rPr>
      <w:tcPr>
        <w:shd w:val="clear" w:color="ffffff" w:themeColor="text1" w:fill="000000" w:themeFill="text1"/>
      </w:tcPr>
    </w:tblStylePr>
    <w:tblStylePr w:type="lastCol">
      <w:rPr>
        <w:rFonts w:ascii="Liberation Sans" w:hAnsi="Liberation Sans"/>
        <w:b/>
        <w:color w:val="ffffff"/>
        <w:sz w:val="22"/>
      </w:rPr>
      <w:tcPr>
        <w:shd w:val="clear" w:color="ffffff" w:themeColor="text1" w:fill="000000" w:themeFill="text1"/>
      </w:tcPr>
    </w:tblStylePr>
    <w:tblStylePr w:type="lastRow">
      <w:rPr>
        <w:rFonts w:ascii="Liberation Sans" w:hAnsi="Liberation Sans"/>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Liberation Sans" w:hAnsi="Liberation Sans"/>
        <w:b/>
        <w:color w:val="ffffff"/>
        <w:sz w:val="22"/>
      </w:rPr>
      <w:tcPr>
        <w:shd w:val="clear" w:color="ffffff" w:themeColor="accent1" w:fill="5b9bd5" w:themeFill="accent1"/>
      </w:tcPr>
    </w:tblStylePr>
    <w:tblStylePr w:type="firstRow">
      <w:rPr>
        <w:rFonts w:ascii="Liberation Sans" w:hAnsi="Liberation Sans"/>
        <w:b/>
        <w:color w:val="ffffff"/>
        <w:sz w:val="22"/>
      </w:rPr>
      <w:tcPr>
        <w:shd w:val="clear" w:color="ffffff" w:themeColor="accent1" w:fill="5b9bd5" w:themeFill="accent1"/>
      </w:tcPr>
    </w:tblStylePr>
    <w:tblStylePr w:type="lastCol">
      <w:rPr>
        <w:rFonts w:ascii="Liberation Sans" w:hAnsi="Liberation Sans"/>
        <w:b/>
        <w:color w:val="ffffff"/>
        <w:sz w:val="22"/>
      </w:rPr>
      <w:tcPr>
        <w:shd w:val="clear" w:color="ffffff" w:themeColor="accent1" w:fill="5b9bd5" w:themeFill="accent1"/>
      </w:tcPr>
    </w:tblStylePr>
    <w:tblStylePr w:type="lastRow">
      <w:rPr>
        <w:rFonts w:ascii="Liberation Sans" w:hAnsi="Liberation Sans"/>
        <w:b/>
        <w:color w:val="ffffff"/>
        <w:sz w:val="22"/>
      </w:rPr>
      <w:tcPr>
        <w:shd w:val="clear" w:color="ffffff" w:themeColor="accent1" w:fill="5b9bd5" w:themeFill="accent1"/>
        <w:tcBorders>
          <w:top w:val="single" w:color="000000" w:themeColor="light1" w:sz="4" w:space="0"/>
        </w:tcBorders>
      </w:tcPr>
    </w:tblStylePr>
  </w:style>
  <w:style w:type="table" w:styleId="809">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Liberation Sans" w:hAnsi="Liberation Sans"/>
        <w:b/>
        <w:color w:val="ffffff"/>
        <w:sz w:val="22"/>
      </w:rPr>
      <w:tcPr>
        <w:shd w:val="clear" w:color="ffffff" w:themeColor="accent2" w:fill="ed7d31" w:themeFill="accent2"/>
      </w:tcPr>
    </w:tblStylePr>
    <w:tblStylePr w:type="firstRow">
      <w:rPr>
        <w:rFonts w:ascii="Liberation Sans" w:hAnsi="Liberation Sans"/>
        <w:b/>
        <w:color w:val="ffffff"/>
        <w:sz w:val="22"/>
      </w:rPr>
      <w:tcPr>
        <w:shd w:val="clear" w:color="ffffff" w:themeColor="accent2" w:fill="ed7d31" w:themeFill="accent2"/>
      </w:tcPr>
    </w:tblStylePr>
    <w:tblStylePr w:type="lastCol">
      <w:rPr>
        <w:rFonts w:ascii="Liberation Sans" w:hAnsi="Liberation Sans"/>
        <w:b/>
        <w:color w:val="ffffff"/>
        <w:sz w:val="22"/>
      </w:rPr>
      <w:tcPr>
        <w:shd w:val="clear" w:color="ffffff" w:themeColor="accent2" w:fill="ed7d31" w:themeFill="accent2"/>
      </w:tcPr>
    </w:tblStylePr>
    <w:tblStylePr w:type="lastRow">
      <w:rPr>
        <w:rFonts w:ascii="Liberation Sans" w:hAnsi="Liberation Sans"/>
        <w:b/>
        <w:color w:val="ffffff"/>
        <w:sz w:val="22"/>
      </w:rPr>
      <w:tcPr>
        <w:shd w:val="clear" w:color="ffffff" w:themeColor="accent2" w:fill="ed7d31" w:themeFill="accent2"/>
        <w:tcBorders>
          <w:top w:val="single" w:color="000000" w:themeColor="light1" w:sz="4" w:space="0"/>
        </w:tcBorders>
      </w:tcPr>
    </w:tblStylePr>
  </w:style>
  <w:style w:type="table" w:styleId="810">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Liberation Sans" w:hAnsi="Liberation Sans"/>
        <w:b/>
        <w:color w:val="ffffff"/>
        <w:sz w:val="22"/>
      </w:rPr>
      <w:tcPr>
        <w:shd w:val="clear" w:color="ffffff" w:themeColor="accent3" w:fill="a5a5a5" w:themeFill="accent3"/>
      </w:tcPr>
    </w:tblStylePr>
    <w:tblStylePr w:type="firstRow">
      <w:rPr>
        <w:rFonts w:ascii="Liberation Sans" w:hAnsi="Liberation Sans"/>
        <w:b/>
        <w:color w:val="ffffff"/>
        <w:sz w:val="22"/>
      </w:rPr>
      <w:tcPr>
        <w:shd w:val="clear" w:color="ffffff" w:themeColor="accent3" w:fill="a5a5a5" w:themeFill="accent3"/>
      </w:tcPr>
    </w:tblStylePr>
    <w:tblStylePr w:type="lastCol">
      <w:rPr>
        <w:rFonts w:ascii="Liberation Sans" w:hAnsi="Liberation Sans"/>
        <w:b/>
        <w:color w:val="ffffff"/>
        <w:sz w:val="22"/>
      </w:rPr>
      <w:tcPr>
        <w:shd w:val="clear" w:color="ffffff" w:themeColor="accent3" w:fill="a5a5a5" w:themeFill="accent3"/>
      </w:tcPr>
    </w:tblStylePr>
    <w:tblStylePr w:type="lastRow">
      <w:rPr>
        <w:rFonts w:ascii="Liberation Sans" w:hAnsi="Liberation Sans"/>
        <w:b/>
        <w:color w:val="ffffff"/>
        <w:sz w:val="22"/>
      </w:rPr>
      <w:tcPr>
        <w:shd w:val="clear" w:color="ffffff" w:themeColor="accent3" w:fill="a5a5a5" w:themeFill="accent3"/>
        <w:tcBorders>
          <w:top w:val="single" w:color="000000" w:themeColor="light1" w:sz="4" w:space="0"/>
        </w:tcBorders>
      </w:tcPr>
    </w:tblStylePr>
  </w:style>
  <w:style w:type="table" w:styleId="811">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Liberation Sans" w:hAnsi="Liberation Sans"/>
        <w:b/>
        <w:color w:val="ffffff"/>
        <w:sz w:val="22"/>
      </w:rPr>
      <w:tcPr>
        <w:shd w:val="clear" w:color="ffffff" w:themeColor="accent4" w:fill="ffc000" w:themeFill="accent4"/>
      </w:tcPr>
    </w:tblStylePr>
    <w:tblStylePr w:type="firstRow">
      <w:rPr>
        <w:rFonts w:ascii="Liberation Sans" w:hAnsi="Liberation Sans"/>
        <w:b/>
        <w:color w:val="ffffff"/>
        <w:sz w:val="22"/>
      </w:rPr>
      <w:tcPr>
        <w:shd w:val="clear" w:color="ffffff" w:themeColor="accent4" w:fill="ffc000" w:themeFill="accent4"/>
      </w:tcPr>
    </w:tblStylePr>
    <w:tblStylePr w:type="lastCol">
      <w:rPr>
        <w:rFonts w:ascii="Liberation Sans" w:hAnsi="Liberation Sans"/>
        <w:b/>
        <w:color w:val="ffffff"/>
        <w:sz w:val="22"/>
      </w:rPr>
      <w:tcPr>
        <w:shd w:val="clear" w:color="ffffff" w:themeColor="accent4" w:fill="ffc000" w:themeFill="accent4"/>
      </w:tcPr>
    </w:tblStylePr>
    <w:tblStylePr w:type="lastRow">
      <w:rPr>
        <w:rFonts w:ascii="Liberation Sans" w:hAnsi="Liberation Sans"/>
        <w:b/>
        <w:color w:val="ffffff"/>
        <w:sz w:val="22"/>
      </w:rPr>
      <w:tcPr>
        <w:shd w:val="clear" w:color="ffffff" w:themeColor="accent4" w:fill="ffc000" w:themeFill="accent4"/>
        <w:tcBorders>
          <w:top w:val="single" w:color="000000" w:themeColor="light1" w:sz="4" w:space="0"/>
        </w:tcBorders>
      </w:tcPr>
    </w:tblStylePr>
  </w:style>
  <w:style w:type="table" w:styleId="812">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Liberation Sans" w:hAnsi="Liberation Sans"/>
        <w:b/>
        <w:color w:val="ffffff"/>
        <w:sz w:val="22"/>
      </w:rPr>
      <w:tcPr>
        <w:shd w:val="clear" w:color="ffffff" w:themeColor="accent5" w:fill="4472c4" w:themeFill="accent5"/>
      </w:tcPr>
    </w:tblStylePr>
    <w:tblStylePr w:type="firstRow">
      <w:rPr>
        <w:rFonts w:ascii="Liberation Sans" w:hAnsi="Liberation Sans"/>
        <w:b/>
        <w:color w:val="ffffff"/>
        <w:sz w:val="22"/>
      </w:rPr>
      <w:tcPr>
        <w:shd w:val="clear" w:color="ffffff" w:themeColor="accent5" w:fill="4472c4" w:themeFill="accent5"/>
      </w:tcPr>
    </w:tblStylePr>
    <w:tblStylePr w:type="lastCol">
      <w:rPr>
        <w:rFonts w:ascii="Liberation Sans" w:hAnsi="Liberation Sans"/>
        <w:b/>
        <w:color w:val="ffffff"/>
        <w:sz w:val="22"/>
      </w:rPr>
      <w:tcPr>
        <w:shd w:val="clear" w:color="ffffff" w:themeColor="accent5" w:fill="4472c4" w:themeFill="accent5"/>
      </w:tcPr>
    </w:tblStylePr>
    <w:tblStylePr w:type="lastRow">
      <w:rPr>
        <w:rFonts w:ascii="Liberation Sans" w:hAnsi="Liberation Sans"/>
        <w:b/>
        <w:color w:val="ffffff"/>
        <w:sz w:val="22"/>
      </w:rPr>
      <w:tcPr>
        <w:shd w:val="clear" w:color="ffffff" w:themeColor="accent5" w:fill="4472c4" w:themeFill="accent5"/>
        <w:tcBorders>
          <w:top w:val="single" w:color="000000" w:themeColor="light1" w:sz="4" w:space="0"/>
        </w:tcBorders>
      </w:tcPr>
    </w:tblStylePr>
  </w:style>
  <w:style w:type="table" w:styleId="813">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Liberation Sans" w:hAnsi="Liberation Sans"/>
        <w:b/>
        <w:color w:val="ffffff"/>
        <w:sz w:val="22"/>
      </w:rPr>
      <w:tcPr>
        <w:shd w:val="clear" w:color="ffffff" w:themeColor="accent6" w:fill="70ad47" w:themeFill="accent6"/>
      </w:tcPr>
    </w:tblStylePr>
    <w:tblStylePr w:type="firstRow">
      <w:rPr>
        <w:rFonts w:ascii="Liberation Sans" w:hAnsi="Liberation Sans"/>
        <w:b/>
        <w:color w:val="ffffff"/>
        <w:sz w:val="22"/>
      </w:rPr>
      <w:tcPr>
        <w:shd w:val="clear" w:color="ffffff" w:themeColor="accent6" w:fill="70ad47" w:themeFill="accent6"/>
      </w:tcPr>
    </w:tblStylePr>
    <w:tblStylePr w:type="lastCol">
      <w:rPr>
        <w:rFonts w:ascii="Liberation Sans" w:hAnsi="Liberation Sans"/>
        <w:b/>
        <w:color w:val="ffffff"/>
        <w:sz w:val="22"/>
      </w:rPr>
      <w:tcPr>
        <w:shd w:val="clear" w:color="ffffff" w:themeColor="accent6" w:fill="70ad47" w:themeFill="accent6"/>
      </w:tcPr>
    </w:tblStylePr>
    <w:tblStylePr w:type="lastRow">
      <w:rPr>
        <w:rFonts w:ascii="Liberation Sans" w:hAnsi="Liberation Sans"/>
        <w:b/>
        <w:color w:val="ffffff"/>
        <w:sz w:val="22"/>
      </w:rPr>
      <w:tcPr>
        <w:shd w:val="clear" w:color="ffffff" w:themeColor="accent6" w:fill="70ad47" w:themeFill="accent6"/>
        <w:tcBorders>
          <w:top w:val="single" w:color="000000" w:themeColor="light1" w:sz="4" w:space="0"/>
        </w:tcBorders>
      </w:tcPr>
    </w:tblStylePr>
  </w:style>
  <w:style w:type="table" w:styleId="814">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Liberation Sans" w:hAnsi="Liberation Sans"/>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Liberation Sans" w:hAnsi="Liberation Sans"/>
        <w:color w:val="404040" w:themeColor="text1" w:themeTint="80" w:themeShade="95"/>
        <w:sz w:val="22"/>
      </w:rPr>
    </w:tblStylePr>
  </w:style>
  <w:style w:type="table" w:styleId="815">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Liberation Sans" w:hAnsi="Liberation Sans"/>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Liberation Sans" w:hAnsi="Liberation Sans"/>
        <w:color w:val="404040" w:themeColor="accent1" w:themeTint="80" w:themeShade="95"/>
        <w:sz w:val="22"/>
      </w:rPr>
    </w:tblStylePr>
  </w:style>
  <w:style w:type="table" w:styleId="816">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Liberation Sans" w:hAnsi="Liberation Sans"/>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Liberation Sans" w:hAnsi="Liberation Sans"/>
        <w:color w:val="404040" w:themeColor="accent2" w:themeTint="97" w:themeShade="95"/>
        <w:sz w:val="22"/>
      </w:rPr>
    </w:tblStylePr>
  </w:style>
  <w:style w:type="table" w:styleId="817">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Liberation Sans" w:hAnsi="Liberation Sans"/>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Liberation Sans" w:hAnsi="Liberation Sans"/>
        <w:color w:val="404040" w:themeColor="accent3" w:themeTint="FE" w:themeShade="95"/>
        <w:sz w:val="22"/>
      </w:rPr>
    </w:tblStylePr>
  </w:style>
  <w:style w:type="table" w:styleId="818">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Liberation Sans" w:hAnsi="Liberation Sans"/>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Liberation Sans" w:hAnsi="Liberation Sans"/>
        <w:color w:val="404040" w:themeColor="accent4" w:themeTint="9A" w:themeShade="95"/>
        <w:sz w:val="22"/>
      </w:rPr>
    </w:tblStylePr>
  </w:style>
  <w:style w:type="table" w:styleId="819">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Liberation Sans" w:hAnsi="Liberation Sans"/>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Liberation Sans" w:hAnsi="Liberation Sans"/>
        <w:color w:val="404040" w:themeColor="accent5" w:themeShade="95"/>
        <w:sz w:val="22"/>
      </w:rPr>
    </w:tblStylePr>
  </w:style>
  <w:style w:type="table" w:styleId="820">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Liberation Sans" w:hAnsi="Liberation Sans"/>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Liberation Sans" w:hAnsi="Liberation Sans"/>
        <w:color w:val="404040" w:themeColor="accent5" w:themeShade="95"/>
        <w:sz w:val="22"/>
      </w:rPr>
    </w:tblStylePr>
  </w:style>
  <w:style w:type="table" w:styleId="821">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Liberation Sans" w:hAnsi="Liberation Sans"/>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Liberation Sans" w:hAnsi="Liberation Sans"/>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Liberation Sans" w:hAnsi="Liberation Sans"/>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Liberation Sans" w:hAnsi="Liberation Sans"/>
        <w:color w:val="317bba" w:themeColor="accent1" w:themeTint="80" w:themeShade="95"/>
        <w:sz w:val="22"/>
      </w:rPr>
    </w:tblStylePr>
    <w:tblStylePr w:type="firstCol">
      <w:rPr>
        <w:rFonts w:ascii="Liberation Sans" w:hAnsi="Liberation Sans"/>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Liberation Sans" w:hAnsi="Liberation Sans"/>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Liberation Sans" w:hAnsi="Liberation Sans"/>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Liberation Sans" w:hAnsi="Liberation Sans"/>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Liberation Sans" w:hAnsi="Liberation Sans"/>
        <w:color w:val="c95712" w:themeColor="accent2" w:themeTint="97" w:themeShade="95"/>
        <w:sz w:val="22"/>
      </w:rPr>
    </w:tblStylePr>
    <w:tblStylePr w:type="firstCol">
      <w:rPr>
        <w:rFonts w:ascii="Liberation Sans" w:hAnsi="Liberation Sans"/>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Liberation Sans" w:hAnsi="Liberation Sans"/>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Liberation Sans" w:hAnsi="Liberation Sans"/>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Liberation Sans" w:hAnsi="Liberation Sans"/>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Liberation Sans" w:hAnsi="Liberation Sans"/>
        <w:color w:val="606060" w:themeColor="accent3" w:themeTint="FE" w:themeShade="95"/>
        <w:sz w:val="22"/>
      </w:rPr>
    </w:tblStylePr>
    <w:tblStylePr w:type="firstCol">
      <w:rPr>
        <w:rFonts w:ascii="Liberation Sans" w:hAnsi="Liberation Sans"/>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Liberation Sans" w:hAnsi="Liberation Sans"/>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Liberation Sans" w:hAnsi="Liberation Sans"/>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Liberation Sans" w:hAnsi="Liberation Sans"/>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Liberation Sans" w:hAnsi="Liberation Sans"/>
        <w:color w:val="cd9600" w:themeColor="accent4" w:themeTint="9A" w:themeShade="95"/>
        <w:sz w:val="22"/>
      </w:rPr>
    </w:tblStylePr>
    <w:tblStylePr w:type="firstCol">
      <w:rPr>
        <w:rFonts w:ascii="Liberation Sans" w:hAnsi="Liberation Sans"/>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Liberation Sans" w:hAnsi="Liberation Sans"/>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Liberation Sans" w:hAnsi="Liberation Sans"/>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Liberation Sans" w:hAnsi="Liberation Sans"/>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Liberation Sans" w:hAnsi="Liberation Sans"/>
        <w:color w:val="254374" w:themeColor="accent5" w:themeShade="95"/>
        <w:sz w:val="22"/>
      </w:rPr>
    </w:tblStylePr>
    <w:tblStylePr w:type="firstCol">
      <w:rPr>
        <w:rFonts w:ascii="Liberation Sans" w:hAnsi="Liberation Sans"/>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Liberation Sans" w:hAnsi="Liberation Sans"/>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Liberation Sans" w:hAnsi="Liberation Sans"/>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Liberation Sans" w:hAnsi="Liberation Sans"/>
        <w:color w:val="426429" w:themeColor="accent6" w:themeShade="95"/>
        <w:sz w:val="22"/>
      </w:rPr>
    </w:tblStylePr>
    <w:tblStylePr w:type="firstCol">
      <w:rPr>
        <w:rFonts w:ascii="Liberation Sans" w:hAnsi="Liberation Sans"/>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Liberation Sans" w:hAnsi="Liberation Sans"/>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Liberation Sans" w:hAnsi="Liberation Sans"/>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5e6f4" w:themeFill="accent1" w:themeFillTint="40"/>
      </w:tcPr>
    </w:tblStylePr>
    <w:tblStylePr w:type="band1Vert">
      <w:rPr>
        <w:rFonts w:ascii="Liberation Sans" w:hAnsi="Liberation Sans"/>
        <w:color w:val="404040"/>
        <w:sz w:val="22"/>
      </w:rPr>
      <w:tcPr>
        <w:shd w:val="clear" w:color="ffffff" w:themeColor="accent1" w:themeTint="40" w:fill="d5e6f4" w:themeFill="accen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fadecb" w:themeFill="accent2" w:themeFillTint="40"/>
      </w:tcPr>
    </w:tblStylePr>
    <w:tblStylePr w:type="band1Vert">
      <w:rPr>
        <w:rFonts w:ascii="Liberation Sans" w:hAnsi="Liberation Sans"/>
        <w:color w:val="404040"/>
        <w:sz w:val="22"/>
      </w:rPr>
      <w:tcPr>
        <w:shd w:val="clear" w:color="ffffff" w:themeColor="accent2" w:themeTint="40" w:fill="fadecb" w:themeFill="accent2"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8e8e8" w:themeFill="accent3" w:themeFillTint="40"/>
      </w:tcPr>
    </w:tblStylePr>
    <w:tblStylePr w:type="band1Vert">
      <w:rPr>
        <w:rFonts w:ascii="Liberation Sans" w:hAnsi="Liberation Sans"/>
        <w:color w:val="404040"/>
        <w:sz w:val="22"/>
      </w:rPr>
      <w:tcPr>
        <w:shd w:val="clear" w:color="ffffff" w:themeColor="accent3" w:themeTint="40" w:fill="e8e8e8" w:themeFill="accent3"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ffefbf" w:themeFill="accent4" w:themeFillTint="40"/>
      </w:tcPr>
    </w:tblStylePr>
    <w:tblStylePr w:type="band1Vert">
      <w:rPr>
        <w:rFonts w:ascii="Liberation Sans" w:hAnsi="Liberation Sans"/>
        <w:color w:val="404040"/>
        <w:sz w:val="22"/>
      </w:rPr>
      <w:tcPr>
        <w:shd w:val="clear" w:color="ffffff" w:themeColor="accent4" w:themeTint="40" w:fill="ffefbf" w:themeFill="accent4"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cfdcf0" w:themeFill="accent5" w:themeFillTint="40"/>
      </w:tcPr>
    </w:tblStylePr>
    <w:tblStylePr w:type="band1Vert">
      <w:rPr>
        <w:rFonts w:ascii="Liberation Sans" w:hAnsi="Liberation Sans"/>
        <w:color w:val="404040"/>
        <w:sz w:val="22"/>
      </w:rPr>
      <w:tcPr>
        <w:shd w:val="clear" w:color="ffffff" w:themeColor="accent5" w:themeTint="40" w:fill="cfdcf0" w:themeFill="accent5"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dbebd0" w:themeFill="accent6" w:themeFillTint="40"/>
      </w:tcPr>
    </w:tblStylePr>
    <w:tblStylePr w:type="band1Vert">
      <w:rPr>
        <w:rFonts w:ascii="Liberation Sans" w:hAnsi="Liberation Sans"/>
        <w:color w:val="404040"/>
        <w:sz w:val="22"/>
      </w:rPr>
      <w:tcPr>
        <w:shd w:val="clear" w:color="ffffff" w:themeColor="accent6" w:themeTint="40" w:fill="dbebd0" w:themeFill="accent6"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Liberation Sans" w:hAnsi="Liberation Sans"/>
        <w:color w:val="404040"/>
        <w:sz w:val="22"/>
      </w:rPr>
      <w:tcPr>
        <w:tcBorders>
          <w:top w:val="single" w:color="000000" w:themeColor="text1" w:sz="4" w:space="0"/>
          <w:bottom w:val="single" w:color="000000" w:themeColor="text1" w:sz="4" w:space="0"/>
        </w:tcBorders>
      </w:tcPr>
    </w:tblStylePr>
    <w:tblStylePr w:type="band1Vert">
      <w:rPr>
        <w:rFonts w:ascii="Liberation Sans" w:hAnsi="Liberation Sans"/>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Liberation Sans" w:hAnsi="Liberation Sans"/>
        <w:color w:val="404040"/>
        <w:sz w:val="22"/>
      </w:rPr>
      <w:tcPr>
        <w:tcBorders>
          <w:top w:val="single" w:color="000000" w:themeColor="accent1" w:sz="4" w:space="0"/>
          <w:bottom w:val="single" w:color="000000" w:themeColor="accent1" w:sz="4" w:space="0"/>
        </w:tcBorders>
      </w:tcPr>
    </w:tblStylePr>
    <w:tblStylePr w:type="band1Vert">
      <w:rPr>
        <w:rFonts w:ascii="Liberation Sans" w:hAnsi="Liberation Sans"/>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4">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Liberation Sans" w:hAnsi="Liberation Sans"/>
        <w:color w:val="404040"/>
        <w:sz w:val="22"/>
      </w:rPr>
      <w:tcPr>
        <w:tcBorders>
          <w:top w:val="single" w:color="000000" w:themeColor="accent2" w:themeTint="97" w:sz="4" w:space="0"/>
          <w:bottom w:val="single" w:color="000000" w:themeColor="accent2" w:themeTint="97" w:sz="4" w:space="0"/>
        </w:tcBorders>
      </w:tcPr>
    </w:tblStylePr>
    <w:tblStylePr w:type="band1Vert">
      <w:rPr>
        <w:rFonts w:ascii="Liberation Sans" w:hAnsi="Liberation Sans"/>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5">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Liberation Sans" w:hAnsi="Liberation Sans"/>
        <w:color w:val="404040"/>
        <w:sz w:val="22"/>
      </w:rPr>
      <w:tcPr>
        <w:tcBorders>
          <w:top w:val="single" w:color="000000" w:themeColor="accent3" w:themeTint="98" w:sz="4" w:space="0"/>
          <w:bottom w:val="single" w:color="000000" w:themeColor="accent3" w:themeTint="98" w:sz="4" w:space="0"/>
        </w:tcBorders>
      </w:tcPr>
    </w:tblStylePr>
    <w:tblStylePr w:type="band1Vert">
      <w:rPr>
        <w:rFonts w:ascii="Liberation Sans" w:hAnsi="Liberation Sans"/>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6">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Liberation Sans" w:hAnsi="Liberation Sans"/>
        <w:color w:val="404040"/>
        <w:sz w:val="22"/>
      </w:rPr>
      <w:tcPr>
        <w:tcBorders>
          <w:top w:val="single" w:color="000000" w:themeColor="accent4" w:themeTint="9A" w:sz="4" w:space="0"/>
          <w:bottom w:val="single" w:color="000000" w:themeColor="accent4" w:themeTint="9A" w:sz="4" w:space="0"/>
        </w:tcBorders>
      </w:tcPr>
    </w:tblStylePr>
    <w:tblStylePr w:type="band1Vert">
      <w:rPr>
        <w:rFonts w:ascii="Liberation Sans" w:hAnsi="Liberation Sans"/>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7">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Liberation Sans" w:hAnsi="Liberation Sans"/>
        <w:color w:val="404040"/>
        <w:sz w:val="22"/>
      </w:rPr>
      <w:tcPr>
        <w:tcBorders>
          <w:top w:val="single" w:color="000000" w:themeColor="accent5" w:themeTint="9A" w:sz="4" w:space="0"/>
          <w:bottom w:val="single" w:color="000000" w:themeColor="accent5" w:themeTint="9A" w:sz="4" w:space="0"/>
        </w:tcBorders>
      </w:tcPr>
    </w:tblStylePr>
    <w:tblStylePr w:type="band1Vert">
      <w:rPr>
        <w:rFonts w:ascii="Liberation Sans" w:hAnsi="Liberation Sans"/>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8">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Liberation Sans" w:hAnsi="Liberation Sans"/>
        <w:color w:val="404040"/>
        <w:sz w:val="22"/>
      </w:rPr>
      <w:tcPr>
        <w:tcBorders>
          <w:top w:val="single" w:color="000000" w:themeColor="accent6" w:themeTint="98" w:sz="4" w:space="0"/>
          <w:bottom w:val="single" w:color="000000" w:themeColor="accent6" w:themeTint="98" w:sz="4" w:space="0"/>
        </w:tcBorders>
      </w:tcPr>
    </w:tblStylePr>
    <w:tblStylePr w:type="band1Vert">
      <w:rPr>
        <w:rFonts w:ascii="Liberation Sans" w:hAnsi="Liberation Sans"/>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9">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5e6f4" w:themeFill="accent1" w:themeFillTint="40"/>
      </w:tcPr>
    </w:tblStylePr>
    <w:tblStylePr w:type="band1Vert">
      <w:rPr>
        <w:rFonts w:ascii="Liberation Sans" w:hAnsi="Liberation Sans"/>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Liberation Sans" w:hAnsi="Liberation Sans"/>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1">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fadecb" w:themeFill="accent2" w:themeFillTint="40"/>
      </w:tcPr>
    </w:tblStylePr>
    <w:tblStylePr w:type="band1Vert">
      <w:rPr>
        <w:rFonts w:ascii="Liberation Sans" w:hAnsi="Liberation Sans"/>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Liberation Sans" w:hAnsi="Liberation Sans"/>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2">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8e8e8" w:themeFill="accent3" w:themeFillTint="40"/>
      </w:tcPr>
    </w:tblStylePr>
    <w:tblStylePr w:type="band1Vert">
      <w:rPr>
        <w:rFonts w:ascii="Liberation Sans" w:hAnsi="Liberation Sans"/>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Liberation Sans" w:hAnsi="Liberation Sans"/>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3">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ffefbf" w:themeFill="accent4" w:themeFillTint="40"/>
      </w:tcPr>
    </w:tblStylePr>
    <w:tblStylePr w:type="band1Vert">
      <w:rPr>
        <w:rFonts w:ascii="Liberation Sans" w:hAnsi="Liberation Sans"/>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Liberation Sans" w:hAnsi="Liberation Sans"/>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4">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cfdcf0" w:themeFill="accent5" w:themeFillTint="40"/>
      </w:tcPr>
    </w:tblStylePr>
    <w:tblStylePr w:type="band1Vert">
      <w:rPr>
        <w:rFonts w:ascii="Liberation Sans" w:hAnsi="Liberation Sans"/>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Liberation Sans" w:hAnsi="Liberation Sans"/>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5">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dbebd0" w:themeFill="accent6" w:themeFillTint="40"/>
      </w:tcPr>
    </w:tblStylePr>
    <w:tblStylePr w:type="band1Vert">
      <w:rPr>
        <w:rFonts w:ascii="Liberation Sans" w:hAnsi="Liberation Sans"/>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Liberation Sans" w:hAnsi="Liberation Sans"/>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6">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57">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1"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58">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59">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60">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61">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62">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63">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Liberation Sans" w:hAnsi="Liberation Sans"/>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Liberation Sans" w:hAnsi="Liberation Sans"/>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Liberation Sans" w:hAnsi="Liberation Sans"/>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5">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Liberation Sans" w:hAnsi="Liberation Sans"/>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6">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Liberation Sans" w:hAnsi="Liberation Sans"/>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Liberation Sans" w:hAnsi="Liberation Sans"/>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7">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Liberation Sans" w:hAnsi="Liberation Sans"/>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8">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Liberation Sans" w:hAnsi="Liberation Sans"/>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Liberation Sans" w:hAnsi="Liberation Sans"/>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9">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Liberation Sans" w:hAnsi="Liberation Sans"/>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Liberation Sans" w:hAnsi="Liberation Sans"/>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0">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Liberation Sans" w:hAnsi="Liberation Sans"/>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Liberation Sans" w:hAnsi="Liberation Sans"/>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Liberation Sans" w:hAnsi="Liberation Sans"/>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Liberation Sans" w:hAnsi="Liberation Sans"/>
        <w:color w:val="4a4a4a" w:themeColor="text1" w:themeTint="80" w:themeShade="95"/>
        <w:sz w:val="22"/>
      </w:rPr>
    </w:tblStylePr>
  </w:style>
  <w:style w:type="table" w:styleId="871">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Liberation Sans" w:hAnsi="Liberation Sans"/>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Liberation Sans" w:hAnsi="Liberation Sans"/>
        <w:color w:val="245d8d" w:themeColor="accent1" w:themeShade="95"/>
        <w:sz w:val="22"/>
      </w:rPr>
    </w:tblStylePr>
    <w:tblStylePr w:type="firstCol">
      <w:rPr>
        <w:rFonts w:ascii="Liberation Sans" w:hAnsi="Liberation Sans"/>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Liberation Sans" w:hAnsi="Liberation Sans"/>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Liberation Sans" w:hAnsi="Liberation Sans"/>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Liberation Sans" w:hAnsi="Liberation Sans"/>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Liberation Sans" w:hAnsi="Liberation Sans"/>
        <w:color w:val="245d8d" w:themeColor="accent1" w:themeShade="95"/>
        <w:sz w:val="22"/>
      </w:rPr>
    </w:tblStylePr>
  </w:style>
  <w:style w:type="table" w:styleId="872">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Liberation Sans" w:hAnsi="Liberation Sans"/>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Liberation Sans" w:hAnsi="Liberation Sans"/>
        <w:color w:val="c95712" w:themeColor="accent2" w:themeTint="97" w:themeShade="95"/>
        <w:sz w:val="22"/>
      </w:rPr>
    </w:tblStylePr>
    <w:tblStylePr w:type="firstCol">
      <w:rPr>
        <w:rFonts w:ascii="Liberation Sans" w:hAnsi="Liberation Sans"/>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Liberation Sans" w:hAnsi="Liberation Sans"/>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Liberation Sans" w:hAnsi="Liberation Sans"/>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Liberation Sans" w:hAnsi="Liberation Sans"/>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Liberation Sans" w:hAnsi="Liberation Sans"/>
        <w:color w:val="c95712" w:themeColor="accent2" w:themeTint="97" w:themeShade="95"/>
        <w:sz w:val="22"/>
      </w:rPr>
    </w:tblStylePr>
  </w:style>
  <w:style w:type="table" w:styleId="873">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Liberation Sans" w:hAnsi="Liberation Sans"/>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Liberation Sans" w:hAnsi="Liberation Sans"/>
        <w:color w:val="757575" w:themeColor="accent3" w:themeTint="98" w:themeShade="95"/>
        <w:sz w:val="22"/>
      </w:rPr>
    </w:tblStylePr>
    <w:tblStylePr w:type="firstCol">
      <w:rPr>
        <w:rFonts w:ascii="Liberation Sans" w:hAnsi="Liberation Sans"/>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Liberation Sans" w:hAnsi="Liberation Sans"/>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Liberation Sans" w:hAnsi="Liberation Sans"/>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Liberation Sans" w:hAnsi="Liberation Sans"/>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Liberation Sans" w:hAnsi="Liberation Sans"/>
        <w:color w:val="757575" w:themeColor="accent3" w:themeTint="98" w:themeShade="95"/>
        <w:sz w:val="22"/>
      </w:rPr>
    </w:tblStylePr>
  </w:style>
  <w:style w:type="table" w:styleId="874">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Liberation Sans" w:hAnsi="Liberation Sans"/>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Liberation Sans" w:hAnsi="Liberation Sans"/>
        <w:color w:val="cd9600" w:themeColor="accent4" w:themeTint="9A" w:themeShade="95"/>
        <w:sz w:val="22"/>
      </w:rPr>
    </w:tblStylePr>
    <w:tblStylePr w:type="firstCol">
      <w:rPr>
        <w:rFonts w:ascii="Liberation Sans" w:hAnsi="Liberation Sans"/>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Liberation Sans" w:hAnsi="Liberation Sans"/>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Liberation Sans" w:hAnsi="Liberation Sans"/>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Liberation Sans" w:hAnsi="Liberation Sans"/>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Liberation Sans" w:hAnsi="Liberation Sans"/>
        <w:color w:val="cd9600" w:themeColor="accent4" w:themeTint="9A" w:themeShade="95"/>
        <w:sz w:val="22"/>
      </w:rPr>
    </w:tblStylePr>
  </w:style>
  <w:style w:type="table" w:styleId="875">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Liberation Sans" w:hAnsi="Liberation Sans"/>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Liberation Sans" w:hAnsi="Liberation Sans"/>
        <w:color w:val="335e9e" w:themeColor="accent5" w:themeTint="9A" w:themeShade="95"/>
        <w:sz w:val="22"/>
      </w:rPr>
    </w:tblStylePr>
    <w:tblStylePr w:type="firstCol">
      <w:rPr>
        <w:rFonts w:ascii="Liberation Sans" w:hAnsi="Liberation Sans"/>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Liberation Sans" w:hAnsi="Liberation Sans"/>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Liberation Sans" w:hAnsi="Liberation Sans"/>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Liberation Sans" w:hAnsi="Liberation Sans"/>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Liberation Sans" w:hAnsi="Liberation Sans"/>
        <w:color w:val="335e9e" w:themeColor="accent5" w:themeTint="9A" w:themeShade="95"/>
        <w:sz w:val="22"/>
      </w:rPr>
    </w:tblStylePr>
  </w:style>
  <w:style w:type="table" w:styleId="876">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Liberation Sans" w:hAnsi="Liberation Sans"/>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Liberation Sans" w:hAnsi="Liberation Sans"/>
        <w:color w:val="5f8f3c" w:themeColor="accent6" w:themeTint="98" w:themeShade="95"/>
        <w:sz w:val="22"/>
      </w:rPr>
    </w:tblStylePr>
    <w:tblStylePr w:type="firstCol">
      <w:rPr>
        <w:rFonts w:ascii="Liberation Sans" w:hAnsi="Liberation Sans"/>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Liberation Sans" w:hAnsi="Liberation Sans"/>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Liberation Sans" w:hAnsi="Liberation Sans"/>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Liberation Sans" w:hAnsi="Liberation Sans"/>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Liberation Sans" w:hAnsi="Liberation Sans"/>
        <w:color w:val="5f8f3c" w:themeColor="accent6" w:themeTint="98" w:themeShade="95"/>
        <w:sz w:val="22"/>
      </w:rPr>
    </w:tblStylePr>
  </w:style>
  <w:style w:type="table" w:styleId="877">
    <w:name w:val="Lined - Accent"/>
    <w:basedOn w:val="917"/>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878">
    <w:name w:val="Lined - Accent 1"/>
    <w:basedOn w:val="917"/>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ce0f1" w:themeFill="accent1" w:themeFillTint="50"/>
      </w:tcPr>
    </w:tblStylePr>
    <w:tblStylePr w:type="band2Vert">
      <w:rPr>
        <w:rFonts w:ascii="Liberation Sans" w:hAnsi="Liberation Sans"/>
        <w:color w:val="404040"/>
        <w:sz w:val="22"/>
      </w:rPr>
      <w:tcPr>
        <w:shd w:val="clear" w:color="ffffff" w:themeColor="accent1" w:themeTint="50" w:fill="cce0f1" w:themeFill="accent1" w:themeFillTint="50"/>
      </w:tcPr>
    </w:tblStylePr>
    <w:tblStylePr w:type="firstCol">
      <w:rPr>
        <w:rFonts w:ascii="Liberation Sans" w:hAnsi="Liberation Sans"/>
        <w:color w:val="f2f2f2"/>
        <w:sz w:val="22"/>
      </w:rPr>
      <w:tcPr>
        <w:shd w:val="clear" w:color="ffffff" w:themeColor="accent1" w:themeTint="EA" w:fill="67a4d8" w:themeFill="accent1" w:themeFillTint="EA"/>
      </w:tcPr>
    </w:tblStylePr>
    <w:tblStylePr w:type="firstRow">
      <w:rPr>
        <w:rFonts w:ascii="Liberation Sans" w:hAnsi="Liberation Sans"/>
        <w:color w:val="f2f2f2"/>
        <w:sz w:val="22"/>
      </w:rPr>
      <w:tcPr>
        <w:shd w:val="clear" w:color="ffffff" w:themeColor="accent1" w:themeTint="EA" w:fill="67a4d8" w:themeFill="accent1" w:themeFillTint="EA"/>
      </w:tcPr>
    </w:tblStylePr>
    <w:tblStylePr w:type="lastCol">
      <w:rPr>
        <w:rFonts w:ascii="Liberation Sans" w:hAnsi="Liberation Sans"/>
        <w:color w:val="f2f2f2"/>
        <w:sz w:val="22"/>
      </w:rPr>
      <w:tcPr>
        <w:shd w:val="clear" w:color="ffffff" w:themeColor="accent1" w:themeTint="EA" w:fill="67a4d8" w:themeFill="accent1" w:themeFillTint="EA"/>
      </w:tcPr>
    </w:tblStylePr>
    <w:tblStylePr w:type="lastRow">
      <w:rPr>
        <w:rFonts w:ascii="Liberation Sans" w:hAnsi="Liberation Sans"/>
        <w:color w:val="f2f2f2"/>
        <w:sz w:val="22"/>
      </w:rPr>
      <w:tcPr>
        <w:shd w:val="clear" w:color="ffffff" w:themeColor="accent1" w:themeTint="EA" w:fill="67a4d8" w:themeFill="accent1" w:themeFillTint="EA"/>
      </w:tcPr>
    </w:tblStylePr>
  </w:style>
  <w:style w:type="table" w:styleId="879">
    <w:name w:val="Lined - Accent 2"/>
    <w:basedOn w:val="917"/>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be5d6" w:themeFill="accent2" w:themeFillTint="32"/>
      </w:tcPr>
    </w:tblStylePr>
    <w:tblStylePr w:type="band2Vert">
      <w:rPr>
        <w:rFonts w:ascii="Liberation Sans" w:hAnsi="Liberation Sans"/>
        <w:color w:val="404040"/>
        <w:sz w:val="22"/>
      </w:rPr>
      <w:tcPr>
        <w:shd w:val="clear" w:color="ffffff" w:themeColor="accent2" w:themeTint="32" w:fill="fbe5d6" w:themeFill="accent2" w:themeFillTint="32"/>
      </w:tcPr>
    </w:tblStylePr>
    <w:tblStylePr w:type="firstCol">
      <w:rPr>
        <w:rFonts w:ascii="Liberation Sans" w:hAnsi="Liberation Sans"/>
        <w:color w:val="f2f2f2"/>
        <w:sz w:val="22"/>
      </w:rPr>
      <w:tcPr>
        <w:shd w:val="clear" w:color="ffffff" w:themeColor="accent2" w:themeTint="97" w:fill="f4b185" w:themeFill="accent2" w:themeFillTint="97"/>
      </w:tcPr>
    </w:tblStylePr>
    <w:tblStylePr w:type="firstRow">
      <w:rPr>
        <w:rFonts w:ascii="Liberation Sans" w:hAnsi="Liberation Sans"/>
        <w:color w:val="f2f2f2"/>
        <w:sz w:val="22"/>
      </w:rPr>
      <w:tcPr>
        <w:shd w:val="clear" w:color="ffffff" w:themeColor="accent2" w:themeTint="97" w:fill="f4b185" w:themeFill="accent2" w:themeFillTint="97"/>
      </w:tcPr>
    </w:tblStylePr>
    <w:tblStylePr w:type="lastCol">
      <w:rPr>
        <w:rFonts w:ascii="Liberation Sans" w:hAnsi="Liberation Sans"/>
        <w:color w:val="f2f2f2"/>
        <w:sz w:val="22"/>
      </w:rPr>
      <w:tcPr>
        <w:shd w:val="clear" w:color="ffffff" w:themeColor="accent2" w:themeTint="97" w:fill="f4b185" w:themeFill="accent2" w:themeFillTint="97"/>
      </w:tcPr>
    </w:tblStylePr>
    <w:tblStylePr w:type="lastRow">
      <w:rPr>
        <w:rFonts w:ascii="Liberation Sans" w:hAnsi="Liberation Sans"/>
        <w:color w:val="f2f2f2"/>
        <w:sz w:val="22"/>
      </w:rPr>
      <w:tcPr>
        <w:shd w:val="clear" w:color="ffffff" w:themeColor="accent2" w:themeTint="97" w:fill="f4b185" w:themeFill="accent2" w:themeFillTint="97"/>
      </w:tcPr>
    </w:tblStylePr>
  </w:style>
  <w:style w:type="table" w:styleId="880">
    <w:name w:val="Lined - Accent 3"/>
    <w:basedOn w:val="917"/>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deded" w:themeFill="accent3" w:themeFillTint="34"/>
      </w:tcPr>
    </w:tblStylePr>
    <w:tblStylePr w:type="band2Vert">
      <w:rPr>
        <w:rFonts w:ascii="Liberation Sans" w:hAnsi="Liberation Sans"/>
        <w:color w:val="404040"/>
        <w:sz w:val="22"/>
      </w:rPr>
      <w:tcPr>
        <w:shd w:val="clear" w:color="ffffff" w:themeColor="accent3" w:themeTint="34" w:fill="ededed" w:themeFill="accent3" w:themeFillTint="34"/>
      </w:tcPr>
    </w:tblStylePr>
    <w:tblStylePr w:type="firstCol">
      <w:rPr>
        <w:rFonts w:ascii="Liberation Sans" w:hAnsi="Liberation Sans"/>
        <w:color w:val="f2f2f2"/>
        <w:sz w:val="22"/>
      </w:rPr>
      <w:tcPr>
        <w:shd w:val="clear" w:color="ffffff" w:themeColor="accent3" w:themeTint="FE" w:fill="a5a5a5" w:themeFill="accent3" w:themeFillTint="FE"/>
      </w:tcPr>
    </w:tblStylePr>
    <w:tblStylePr w:type="firstRow">
      <w:rPr>
        <w:rFonts w:ascii="Liberation Sans" w:hAnsi="Liberation Sans"/>
        <w:color w:val="f2f2f2"/>
        <w:sz w:val="22"/>
      </w:rPr>
      <w:tcPr>
        <w:shd w:val="clear" w:color="ffffff" w:themeColor="accent3" w:themeTint="FE" w:fill="a5a5a5" w:themeFill="accent3" w:themeFillTint="FE"/>
      </w:tcPr>
    </w:tblStylePr>
    <w:tblStylePr w:type="lastCol">
      <w:rPr>
        <w:rFonts w:ascii="Liberation Sans" w:hAnsi="Liberation Sans"/>
        <w:color w:val="f2f2f2"/>
        <w:sz w:val="22"/>
      </w:rPr>
      <w:tcPr>
        <w:shd w:val="clear" w:color="ffffff" w:themeColor="accent3" w:themeTint="FE" w:fill="a5a5a5" w:themeFill="accent3" w:themeFillTint="FE"/>
      </w:tcPr>
    </w:tblStylePr>
    <w:tblStylePr w:type="lastRow">
      <w:rPr>
        <w:rFonts w:ascii="Liberation Sans" w:hAnsi="Liberation Sans"/>
        <w:color w:val="f2f2f2"/>
        <w:sz w:val="22"/>
      </w:rPr>
      <w:tcPr>
        <w:shd w:val="clear" w:color="ffffff" w:themeColor="accent3" w:themeTint="FE" w:fill="a5a5a5" w:themeFill="accent3" w:themeFillTint="FE"/>
      </w:tcPr>
    </w:tblStylePr>
  </w:style>
  <w:style w:type="table" w:styleId="881">
    <w:name w:val="Lined - Accent 4"/>
    <w:basedOn w:val="917"/>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fef2cb" w:themeFill="accent4" w:themeFillTint="34"/>
      </w:tcPr>
    </w:tblStylePr>
    <w:tblStylePr w:type="band2Vert">
      <w:rPr>
        <w:rFonts w:ascii="Liberation Sans" w:hAnsi="Liberation Sans"/>
        <w:color w:val="404040"/>
        <w:sz w:val="22"/>
      </w:rPr>
      <w:tcPr>
        <w:shd w:val="clear" w:color="ffffff" w:themeColor="accent4" w:themeTint="34" w:fill="fef2cb" w:themeFill="accent4" w:themeFillTint="34"/>
      </w:tcPr>
    </w:tblStylePr>
    <w:tblStylePr w:type="firstCol">
      <w:rPr>
        <w:rFonts w:ascii="Liberation Sans" w:hAnsi="Liberation Sans"/>
        <w:color w:val="f2f2f2"/>
        <w:sz w:val="22"/>
      </w:rPr>
      <w:tcPr>
        <w:shd w:val="clear" w:color="ffffff" w:themeColor="accent4" w:themeTint="9A" w:fill="ffd864" w:themeFill="accent4" w:themeFillTint="9A"/>
      </w:tcPr>
    </w:tblStylePr>
    <w:tblStylePr w:type="firstRow">
      <w:rPr>
        <w:rFonts w:ascii="Liberation Sans" w:hAnsi="Liberation Sans"/>
        <w:color w:val="f2f2f2"/>
        <w:sz w:val="22"/>
      </w:rPr>
      <w:tcPr>
        <w:shd w:val="clear" w:color="ffffff" w:themeColor="accent4" w:themeTint="9A" w:fill="ffd864" w:themeFill="accent4" w:themeFillTint="9A"/>
      </w:tcPr>
    </w:tblStylePr>
    <w:tblStylePr w:type="lastCol">
      <w:rPr>
        <w:rFonts w:ascii="Liberation Sans" w:hAnsi="Liberation Sans"/>
        <w:color w:val="f2f2f2"/>
        <w:sz w:val="22"/>
      </w:rPr>
      <w:tcPr>
        <w:shd w:val="clear" w:color="ffffff" w:themeColor="accent4" w:themeTint="9A" w:fill="ffd864" w:themeFill="accent4" w:themeFillTint="9A"/>
      </w:tcPr>
    </w:tblStylePr>
    <w:tblStylePr w:type="lastRow">
      <w:rPr>
        <w:rFonts w:ascii="Liberation Sans" w:hAnsi="Liberation Sans"/>
        <w:color w:val="f2f2f2"/>
        <w:sz w:val="22"/>
      </w:rPr>
      <w:tcPr>
        <w:shd w:val="clear" w:color="ffffff" w:themeColor="accent4" w:themeTint="9A" w:fill="ffd864" w:themeFill="accent4" w:themeFillTint="9A"/>
      </w:tcPr>
    </w:tblStylePr>
  </w:style>
  <w:style w:type="table" w:styleId="882">
    <w:name w:val="Lined - Accent 5"/>
    <w:basedOn w:val="917"/>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9e2f2" w:themeFill="accent5" w:themeFillTint="34"/>
      </w:tcPr>
    </w:tblStylePr>
    <w:tblStylePr w:type="band2Vert">
      <w:rPr>
        <w:rFonts w:ascii="Liberation Sans" w:hAnsi="Liberation Sans"/>
        <w:color w:val="404040"/>
        <w:sz w:val="22"/>
      </w:rPr>
      <w:tcPr>
        <w:shd w:val="clear" w:color="ffffff" w:themeColor="accent5" w:themeTint="34" w:fill="d9e2f2" w:themeFill="accent5" w:themeFillTint="34"/>
      </w:tcPr>
    </w:tblStylePr>
    <w:tblStylePr w:type="firstCol">
      <w:rPr>
        <w:rFonts w:ascii="Liberation Sans" w:hAnsi="Liberation Sans"/>
        <w:color w:val="f2f2f2"/>
        <w:sz w:val="22"/>
      </w:rPr>
      <w:tcPr>
        <w:shd w:val="clear" w:color="ffffff" w:themeColor="accent5" w:fill="4472c4" w:themeFill="accent5"/>
      </w:tcPr>
    </w:tblStylePr>
    <w:tblStylePr w:type="firstRow">
      <w:rPr>
        <w:rFonts w:ascii="Liberation Sans" w:hAnsi="Liberation Sans"/>
        <w:color w:val="f2f2f2"/>
        <w:sz w:val="22"/>
      </w:rPr>
      <w:tcPr>
        <w:shd w:val="clear" w:color="ffffff" w:themeColor="accent5" w:fill="4472c4" w:themeFill="accent5"/>
      </w:tcPr>
    </w:tblStylePr>
    <w:tblStylePr w:type="lastCol">
      <w:rPr>
        <w:rFonts w:ascii="Liberation Sans" w:hAnsi="Liberation Sans"/>
        <w:color w:val="f2f2f2"/>
        <w:sz w:val="22"/>
      </w:rPr>
      <w:tcPr>
        <w:shd w:val="clear" w:color="ffffff" w:themeColor="accent5" w:fill="4472c4" w:themeFill="accent5"/>
      </w:tcPr>
    </w:tblStylePr>
    <w:tblStylePr w:type="lastRow">
      <w:rPr>
        <w:rFonts w:ascii="Liberation Sans" w:hAnsi="Liberation Sans"/>
        <w:color w:val="f2f2f2"/>
        <w:sz w:val="22"/>
      </w:rPr>
      <w:tcPr>
        <w:shd w:val="clear" w:color="ffffff" w:themeColor="accent5" w:fill="4472c4" w:themeFill="accent5"/>
      </w:tcPr>
    </w:tblStylePr>
  </w:style>
  <w:style w:type="table" w:styleId="883">
    <w:name w:val="Lined - Accent 6"/>
    <w:basedOn w:val="917"/>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e2efd8" w:themeFill="accent6" w:themeFillTint="34"/>
      </w:tcPr>
    </w:tblStylePr>
    <w:tblStylePr w:type="band2Vert">
      <w:rPr>
        <w:rFonts w:ascii="Liberation Sans" w:hAnsi="Liberation Sans"/>
        <w:color w:val="404040"/>
        <w:sz w:val="22"/>
      </w:rPr>
      <w:tcPr>
        <w:shd w:val="clear" w:color="ffffff" w:themeColor="accent6" w:themeTint="34" w:fill="e2efd8" w:themeFill="accent6" w:themeFillTint="34"/>
      </w:tcPr>
    </w:tblStylePr>
    <w:tblStylePr w:type="firstCol">
      <w:rPr>
        <w:rFonts w:ascii="Liberation Sans" w:hAnsi="Liberation Sans"/>
        <w:color w:val="f2f2f2"/>
        <w:sz w:val="22"/>
      </w:rPr>
      <w:tcPr>
        <w:shd w:val="clear" w:color="ffffff" w:themeColor="accent6" w:fill="70ad47" w:themeFill="accent6"/>
      </w:tcPr>
    </w:tblStylePr>
    <w:tblStylePr w:type="firstRow">
      <w:rPr>
        <w:rFonts w:ascii="Liberation Sans" w:hAnsi="Liberation Sans"/>
        <w:color w:val="f2f2f2"/>
        <w:sz w:val="22"/>
      </w:rPr>
      <w:tcPr>
        <w:shd w:val="clear" w:color="ffffff" w:themeColor="accent6" w:fill="70ad47" w:themeFill="accent6"/>
      </w:tcPr>
    </w:tblStylePr>
    <w:tblStylePr w:type="lastCol">
      <w:rPr>
        <w:rFonts w:ascii="Liberation Sans" w:hAnsi="Liberation Sans"/>
        <w:color w:val="f2f2f2"/>
        <w:sz w:val="22"/>
      </w:rPr>
      <w:tcPr>
        <w:shd w:val="clear" w:color="ffffff" w:themeColor="accent6" w:fill="70ad47" w:themeFill="accent6"/>
      </w:tcPr>
    </w:tblStylePr>
    <w:tblStylePr w:type="lastRow">
      <w:rPr>
        <w:rFonts w:ascii="Liberation Sans" w:hAnsi="Liberation Sans"/>
        <w:color w:val="f2f2f2"/>
        <w:sz w:val="22"/>
      </w:rPr>
      <w:tcPr>
        <w:shd w:val="clear" w:color="ffffff" w:themeColor="accent6" w:fill="70ad47" w:themeFill="accent6"/>
      </w:tcPr>
    </w:tblStylePr>
  </w:style>
  <w:style w:type="table" w:styleId="884">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885">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ce0f1" w:themeFill="accent1" w:themeFillTint="50"/>
      </w:tcPr>
    </w:tblStylePr>
    <w:tblStylePr w:type="band2Vert">
      <w:rPr>
        <w:rFonts w:ascii="Liberation Sans" w:hAnsi="Liberation Sans"/>
        <w:color w:val="404040"/>
        <w:sz w:val="22"/>
      </w:rPr>
      <w:tcPr>
        <w:shd w:val="clear" w:color="ffffff" w:themeColor="accent1" w:themeTint="50" w:fill="cce0f1" w:themeFill="accent1" w:themeFillTint="50"/>
      </w:tcPr>
    </w:tblStylePr>
    <w:tblStylePr w:type="firstCol">
      <w:rPr>
        <w:rFonts w:ascii="Liberation Sans" w:hAnsi="Liberation Sans"/>
        <w:color w:val="f2f2f2"/>
        <w:sz w:val="22"/>
      </w:rPr>
      <w:tcPr>
        <w:shd w:val="clear" w:color="ffffff" w:themeColor="accent1" w:themeTint="EA" w:fill="67a4d8" w:themeFill="accent1" w:themeFillTint="EA"/>
      </w:tcPr>
    </w:tblStylePr>
    <w:tblStylePr w:type="firstRow">
      <w:rPr>
        <w:rFonts w:ascii="Liberation Sans" w:hAnsi="Liberation Sans"/>
        <w:color w:val="f2f2f2"/>
        <w:sz w:val="22"/>
      </w:rPr>
      <w:tcPr>
        <w:shd w:val="clear" w:color="ffffff" w:themeColor="accent1" w:themeTint="EA" w:fill="67a4d8" w:themeFill="accent1" w:themeFillTint="EA"/>
      </w:tcPr>
    </w:tblStylePr>
    <w:tblStylePr w:type="lastCol">
      <w:rPr>
        <w:rFonts w:ascii="Liberation Sans" w:hAnsi="Liberation Sans"/>
        <w:color w:val="f2f2f2"/>
        <w:sz w:val="22"/>
      </w:rPr>
      <w:tcPr>
        <w:shd w:val="clear" w:color="ffffff" w:themeColor="accent1" w:themeTint="EA" w:fill="67a4d8" w:themeFill="accent1" w:themeFillTint="EA"/>
      </w:tcPr>
    </w:tblStylePr>
    <w:tblStylePr w:type="lastRow">
      <w:rPr>
        <w:rFonts w:ascii="Liberation Sans" w:hAnsi="Liberation Sans"/>
        <w:color w:val="f2f2f2"/>
        <w:sz w:val="22"/>
      </w:rPr>
      <w:tcPr>
        <w:shd w:val="clear" w:color="ffffff" w:themeColor="accent1" w:themeTint="EA" w:fill="67a4d8" w:themeFill="accent1" w:themeFillTint="EA"/>
      </w:tcPr>
    </w:tblStylePr>
  </w:style>
  <w:style w:type="table" w:styleId="886">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be5d6" w:themeFill="accent2" w:themeFillTint="32"/>
      </w:tcPr>
    </w:tblStylePr>
    <w:tblStylePr w:type="band2Vert">
      <w:rPr>
        <w:rFonts w:ascii="Liberation Sans" w:hAnsi="Liberation Sans"/>
        <w:color w:val="404040"/>
        <w:sz w:val="22"/>
      </w:rPr>
      <w:tcPr>
        <w:shd w:val="clear" w:color="ffffff" w:themeColor="accent2" w:themeTint="32" w:fill="fbe5d6" w:themeFill="accent2" w:themeFillTint="32"/>
      </w:tcPr>
    </w:tblStylePr>
    <w:tblStylePr w:type="firstCol">
      <w:rPr>
        <w:rFonts w:ascii="Liberation Sans" w:hAnsi="Liberation Sans"/>
        <w:color w:val="f2f2f2"/>
        <w:sz w:val="22"/>
      </w:rPr>
      <w:tcPr>
        <w:shd w:val="clear" w:color="ffffff" w:themeColor="accent2" w:themeTint="97" w:fill="f4b185" w:themeFill="accent2" w:themeFillTint="97"/>
      </w:tcPr>
    </w:tblStylePr>
    <w:tblStylePr w:type="firstRow">
      <w:rPr>
        <w:rFonts w:ascii="Liberation Sans" w:hAnsi="Liberation Sans"/>
        <w:color w:val="f2f2f2"/>
        <w:sz w:val="22"/>
      </w:rPr>
      <w:tcPr>
        <w:shd w:val="clear" w:color="ffffff" w:themeColor="accent2" w:themeTint="97" w:fill="f4b185" w:themeFill="accent2" w:themeFillTint="97"/>
      </w:tcPr>
    </w:tblStylePr>
    <w:tblStylePr w:type="lastCol">
      <w:rPr>
        <w:rFonts w:ascii="Liberation Sans" w:hAnsi="Liberation Sans"/>
        <w:color w:val="f2f2f2"/>
        <w:sz w:val="22"/>
      </w:rPr>
      <w:tcPr>
        <w:shd w:val="clear" w:color="ffffff" w:themeColor="accent2" w:themeTint="97" w:fill="f4b185" w:themeFill="accent2" w:themeFillTint="97"/>
      </w:tcPr>
    </w:tblStylePr>
    <w:tblStylePr w:type="lastRow">
      <w:rPr>
        <w:rFonts w:ascii="Liberation Sans" w:hAnsi="Liberation Sans"/>
        <w:color w:val="f2f2f2"/>
        <w:sz w:val="22"/>
      </w:rPr>
      <w:tcPr>
        <w:shd w:val="clear" w:color="ffffff" w:themeColor="accent2" w:themeTint="97" w:fill="f4b185" w:themeFill="accent2" w:themeFillTint="97"/>
      </w:tcPr>
    </w:tblStylePr>
  </w:style>
  <w:style w:type="table" w:styleId="887">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deded" w:themeFill="accent3" w:themeFillTint="34"/>
      </w:tcPr>
    </w:tblStylePr>
    <w:tblStylePr w:type="band2Vert">
      <w:rPr>
        <w:rFonts w:ascii="Liberation Sans" w:hAnsi="Liberation Sans"/>
        <w:color w:val="404040"/>
        <w:sz w:val="22"/>
      </w:rPr>
      <w:tcPr>
        <w:shd w:val="clear" w:color="ffffff" w:themeColor="accent3" w:themeTint="34" w:fill="ededed" w:themeFill="accent3" w:themeFillTint="34"/>
      </w:tcPr>
    </w:tblStylePr>
    <w:tblStylePr w:type="firstCol">
      <w:rPr>
        <w:rFonts w:ascii="Liberation Sans" w:hAnsi="Liberation Sans"/>
        <w:color w:val="f2f2f2"/>
        <w:sz w:val="22"/>
      </w:rPr>
      <w:tcPr>
        <w:shd w:val="clear" w:color="ffffff" w:themeColor="accent3" w:themeTint="FE" w:fill="a5a5a5" w:themeFill="accent3" w:themeFillTint="FE"/>
      </w:tcPr>
    </w:tblStylePr>
    <w:tblStylePr w:type="firstRow">
      <w:rPr>
        <w:rFonts w:ascii="Liberation Sans" w:hAnsi="Liberation Sans"/>
        <w:color w:val="f2f2f2"/>
        <w:sz w:val="22"/>
      </w:rPr>
      <w:tcPr>
        <w:shd w:val="clear" w:color="ffffff" w:themeColor="accent3" w:themeTint="FE" w:fill="a5a5a5" w:themeFill="accent3" w:themeFillTint="FE"/>
      </w:tcPr>
    </w:tblStylePr>
    <w:tblStylePr w:type="lastCol">
      <w:rPr>
        <w:rFonts w:ascii="Liberation Sans" w:hAnsi="Liberation Sans"/>
        <w:color w:val="f2f2f2"/>
        <w:sz w:val="22"/>
      </w:rPr>
      <w:tcPr>
        <w:shd w:val="clear" w:color="ffffff" w:themeColor="accent3" w:themeTint="FE" w:fill="a5a5a5" w:themeFill="accent3" w:themeFillTint="FE"/>
      </w:tcPr>
    </w:tblStylePr>
    <w:tblStylePr w:type="lastRow">
      <w:rPr>
        <w:rFonts w:ascii="Liberation Sans" w:hAnsi="Liberation Sans"/>
        <w:color w:val="f2f2f2"/>
        <w:sz w:val="22"/>
      </w:rPr>
      <w:tcPr>
        <w:shd w:val="clear" w:color="ffffff" w:themeColor="accent3" w:themeTint="FE" w:fill="a5a5a5" w:themeFill="accent3" w:themeFillTint="FE"/>
      </w:tcPr>
    </w:tblStylePr>
  </w:style>
  <w:style w:type="table" w:styleId="888">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fef2cb" w:themeFill="accent4" w:themeFillTint="34"/>
      </w:tcPr>
    </w:tblStylePr>
    <w:tblStylePr w:type="band2Vert">
      <w:rPr>
        <w:rFonts w:ascii="Liberation Sans" w:hAnsi="Liberation Sans"/>
        <w:color w:val="404040"/>
        <w:sz w:val="22"/>
      </w:rPr>
      <w:tcPr>
        <w:shd w:val="clear" w:color="ffffff" w:themeColor="accent4" w:themeTint="34" w:fill="fef2cb" w:themeFill="accent4" w:themeFillTint="34"/>
      </w:tcPr>
    </w:tblStylePr>
    <w:tblStylePr w:type="firstCol">
      <w:rPr>
        <w:rFonts w:ascii="Liberation Sans" w:hAnsi="Liberation Sans"/>
        <w:color w:val="f2f2f2"/>
        <w:sz w:val="22"/>
      </w:rPr>
      <w:tcPr>
        <w:shd w:val="clear" w:color="ffffff" w:themeColor="accent4" w:themeTint="9A" w:fill="ffd864" w:themeFill="accent4" w:themeFillTint="9A"/>
      </w:tcPr>
    </w:tblStylePr>
    <w:tblStylePr w:type="firstRow">
      <w:rPr>
        <w:rFonts w:ascii="Liberation Sans" w:hAnsi="Liberation Sans"/>
        <w:color w:val="f2f2f2"/>
        <w:sz w:val="22"/>
      </w:rPr>
      <w:tcPr>
        <w:shd w:val="clear" w:color="ffffff" w:themeColor="accent4" w:themeTint="9A" w:fill="ffd864" w:themeFill="accent4" w:themeFillTint="9A"/>
      </w:tcPr>
    </w:tblStylePr>
    <w:tblStylePr w:type="lastCol">
      <w:rPr>
        <w:rFonts w:ascii="Liberation Sans" w:hAnsi="Liberation Sans"/>
        <w:color w:val="f2f2f2"/>
        <w:sz w:val="22"/>
      </w:rPr>
      <w:tcPr>
        <w:shd w:val="clear" w:color="ffffff" w:themeColor="accent4" w:themeTint="9A" w:fill="ffd864" w:themeFill="accent4" w:themeFillTint="9A"/>
      </w:tcPr>
    </w:tblStylePr>
    <w:tblStylePr w:type="lastRow">
      <w:rPr>
        <w:rFonts w:ascii="Liberation Sans" w:hAnsi="Liberation Sans"/>
        <w:color w:val="f2f2f2"/>
        <w:sz w:val="22"/>
      </w:rPr>
      <w:tcPr>
        <w:shd w:val="clear" w:color="ffffff" w:themeColor="accent4" w:themeTint="9A" w:fill="ffd864" w:themeFill="accent4" w:themeFillTint="9A"/>
      </w:tcPr>
    </w:tblStylePr>
  </w:style>
  <w:style w:type="table" w:styleId="889">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9e2f2" w:themeFill="accent5" w:themeFillTint="34"/>
      </w:tcPr>
    </w:tblStylePr>
    <w:tblStylePr w:type="band2Vert">
      <w:rPr>
        <w:rFonts w:ascii="Liberation Sans" w:hAnsi="Liberation Sans"/>
        <w:color w:val="404040"/>
        <w:sz w:val="22"/>
      </w:rPr>
      <w:tcPr>
        <w:shd w:val="clear" w:color="ffffff" w:themeColor="accent5" w:themeTint="34" w:fill="d9e2f2" w:themeFill="accent5" w:themeFillTint="34"/>
      </w:tcPr>
    </w:tblStylePr>
    <w:tblStylePr w:type="firstCol">
      <w:rPr>
        <w:rFonts w:ascii="Liberation Sans" w:hAnsi="Liberation Sans"/>
        <w:color w:val="f2f2f2"/>
        <w:sz w:val="22"/>
      </w:rPr>
      <w:tcPr>
        <w:shd w:val="clear" w:color="ffffff" w:themeColor="accent5" w:fill="4472c4" w:themeFill="accent5"/>
      </w:tcPr>
    </w:tblStylePr>
    <w:tblStylePr w:type="firstRow">
      <w:rPr>
        <w:rFonts w:ascii="Liberation Sans" w:hAnsi="Liberation Sans"/>
        <w:color w:val="f2f2f2"/>
        <w:sz w:val="22"/>
      </w:rPr>
      <w:tcPr>
        <w:shd w:val="clear" w:color="ffffff" w:themeColor="accent5" w:fill="4472c4" w:themeFill="accent5"/>
      </w:tcPr>
    </w:tblStylePr>
    <w:tblStylePr w:type="lastCol">
      <w:rPr>
        <w:rFonts w:ascii="Liberation Sans" w:hAnsi="Liberation Sans"/>
        <w:color w:val="f2f2f2"/>
        <w:sz w:val="22"/>
      </w:rPr>
      <w:tcPr>
        <w:shd w:val="clear" w:color="ffffff" w:themeColor="accent5" w:fill="4472c4" w:themeFill="accent5"/>
      </w:tcPr>
    </w:tblStylePr>
    <w:tblStylePr w:type="lastRow">
      <w:rPr>
        <w:rFonts w:ascii="Liberation Sans" w:hAnsi="Liberation Sans"/>
        <w:color w:val="f2f2f2"/>
        <w:sz w:val="22"/>
      </w:rPr>
      <w:tcPr>
        <w:shd w:val="clear" w:color="ffffff" w:themeColor="accent5" w:fill="4472c4" w:themeFill="accent5"/>
      </w:tcPr>
    </w:tblStylePr>
  </w:style>
  <w:style w:type="table" w:styleId="890">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e2efd8" w:themeFill="accent6" w:themeFillTint="34"/>
      </w:tcPr>
    </w:tblStylePr>
    <w:tblStylePr w:type="band2Vert">
      <w:rPr>
        <w:rFonts w:ascii="Liberation Sans" w:hAnsi="Liberation Sans"/>
        <w:color w:val="404040"/>
        <w:sz w:val="22"/>
      </w:rPr>
      <w:tcPr>
        <w:shd w:val="clear" w:color="ffffff" w:themeColor="accent6" w:themeTint="34" w:fill="e2efd8" w:themeFill="accent6" w:themeFillTint="34"/>
      </w:tcPr>
    </w:tblStylePr>
    <w:tblStylePr w:type="firstCol">
      <w:rPr>
        <w:rFonts w:ascii="Liberation Sans" w:hAnsi="Liberation Sans"/>
        <w:color w:val="f2f2f2"/>
        <w:sz w:val="22"/>
      </w:rPr>
      <w:tcPr>
        <w:shd w:val="clear" w:color="ffffff" w:themeColor="accent6" w:fill="70ad47" w:themeFill="accent6"/>
      </w:tcPr>
    </w:tblStylePr>
    <w:tblStylePr w:type="firstRow">
      <w:rPr>
        <w:rFonts w:ascii="Liberation Sans" w:hAnsi="Liberation Sans"/>
        <w:color w:val="f2f2f2"/>
        <w:sz w:val="22"/>
      </w:rPr>
      <w:tcPr>
        <w:shd w:val="clear" w:color="ffffff" w:themeColor="accent6" w:fill="70ad47" w:themeFill="accent6"/>
      </w:tcPr>
    </w:tblStylePr>
    <w:tblStylePr w:type="lastCol">
      <w:rPr>
        <w:rFonts w:ascii="Liberation Sans" w:hAnsi="Liberation Sans"/>
        <w:color w:val="f2f2f2"/>
        <w:sz w:val="22"/>
      </w:rPr>
      <w:tcPr>
        <w:shd w:val="clear" w:color="ffffff" w:themeColor="accent6" w:fill="70ad47" w:themeFill="accent6"/>
      </w:tcPr>
    </w:tblStylePr>
    <w:tblStylePr w:type="lastRow">
      <w:rPr>
        <w:rFonts w:ascii="Liberation Sans" w:hAnsi="Liberation Sans"/>
        <w:color w:val="f2f2f2"/>
        <w:sz w:val="22"/>
      </w:rPr>
      <w:tcPr>
        <w:shd w:val="clear" w:color="ffffff" w:themeColor="accent6" w:fill="70ad47" w:themeFill="accent6"/>
      </w:tcPr>
    </w:tblStylePr>
  </w:style>
  <w:style w:type="table" w:styleId="891">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Liberation Sans" w:hAnsi="Liberation Sans"/>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text1" w:themeTint="80" w:sz="12" w:space="0"/>
        </w:tcBorders>
      </w:tcPr>
    </w:tblStylePr>
    <w:tblStylePr w:type="lastCol">
      <w:rPr>
        <w:rFonts w:ascii="Liberation Sans" w:hAnsi="Liberation Sans"/>
        <w:color w:val="404040"/>
        <w:sz w:val="22"/>
      </w:rPr>
      <w:tcPr>
        <w:tcBorders>
          <w:left w:val="single" w:color="000000" w:themeColor="text1" w:themeTint="80" w:sz="12" w:space="0"/>
        </w:tcBorders>
      </w:tcPr>
    </w:tblStylePr>
    <w:tblStylePr w:type="lastRow">
      <w:rPr>
        <w:rFonts w:ascii="Liberation Sans" w:hAnsi="Liberation Sans"/>
        <w:color w:val="404040"/>
        <w:sz w:val="22"/>
      </w:rPr>
      <w:tcPr>
        <w:tcBorders>
          <w:top w:val="single" w:color="000000" w:themeColor="text1" w:themeTint="80" w:sz="12" w:space="0"/>
        </w:tcBorders>
      </w:tcPr>
    </w:tblStylePr>
  </w:style>
  <w:style w:type="table" w:styleId="892">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1" w:sz="12" w:space="0"/>
        </w:tcBorders>
      </w:tcPr>
    </w:tblStylePr>
    <w:tblStylePr w:type="lastCol">
      <w:rPr>
        <w:rFonts w:ascii="Liberation Sans" w:hAnsi="Liberation Sans"/>
        <w:color w:val="404040"/>
        <w:sz w:val="22"/>
      </w:rPr>
      <w:tcPr>
        <w:tcBorders>
          <w:left w:val="single" w:color="000000" w:themeColor="accent1" w:sz="12" w:space="0"/>
        </w:tcBorders>
      </w:tcPr>
    </w:tblStylePr>
    <w:tblStylePr w:type="lastRow">
      <w:rPr>
        <w:rFonts w:ascii="Liberation Sans" w:hAnsi="Liberation Sans"/>
        <w:color w:val="404040"/>
        <w:sz w:val="22"/>
      </w:rPr>
      <w:tcPr>
        <w:tcBorders>
          <w:top w:val="single" w:color="000000" w:themeColor="accent1" w:sz="12" w:space="0"/>
        </w:tcBorders>
      </w:tcPr>
    </w:tblStylePr>
  </w:style>
  <w:style w:type="table" w:styleId="893">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2" w:themeTint="97" w:sz="12" w:space="0"/>
        </w:tcBorders>
      </w:tcPr>
    </w:tblStylePr>
    <w:tblStylePr w:type="lastCol">
      <w:rPr>
        <w:rFonts w:ascii="Liberation Sans" w:hAnsi="Liberation Sans"/>
        <w:color w:val="404040"/>
        <w:sz w:val="22"/>
      </w:rPr>
      <w:tcPr>
        <w:tcBorders>
          <w:left w:val="single" w:color="000000" w:themeColor="accent2" w:themeTint="97" w:sz="12" w:space="0"/>
        </w:tcBorders>
      </w:tcPr>
    </w:tblStylePr>
    <w:tblStylePr w:type="lastRow">
      <w:rPr>
        <w:rFonts w:ascii="Liberation Sans" w:hAnsi="Liberation Sans"/>
        <w:color w:val="404040"/>
        <w:sz w:val="22"/>
      </w:rPr>
      <w:tcPr>
        <w:tcBorders>
          <w:top w:val="single" w:color="000000" w:themeColor="accent2" w:themeTint="97" w:sz="12" w:space="0"/>
        </w:tcBorders>
      </w:tcPr>
    </w:tblStylePr>
  </w:style>
  <w:style w:type="table" w:styleId="894">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3" w:themeTint="98" w:sz="12" w:space="0"/>
        </w:tcBorders>
      </w:tcPr>
    </w:tblStylePr>
    <w:tblStylePr w:type="lastCol">
      <w:rPr>
        <w:rFonts w:ascii="Liberation Sans" w:hAnsi="Liberation Sans"/>
        <w:color w:val="404040"/>
        <w:sz w:val="22"/>
      </w:rPr>
      <w:tcPr>
        <w:tcBorders>
          <w:left w:val="single" w:color="000000" w:themeColor="accent3" w:themeTint="98" w:sz="12" w:space="0"/>
        </w:tcBorders>
      </w:tcPr>
    </w:tblStylePr>
    <w:tblStylePr w:type="lastRow">
      <w:rPr>
        <w:rFonts w:ascii="Liberation Sans" w:hAnsi="Liberation Sans"/>
        <w:color w:val="404040"/>
        <w:sz w:val="22"/>
      </w:rPr>
      <w:tcPr>
        <w:tcBorders>
          <w:top w:val="single" w:color="000000" w:themeColor="accent3" w:themeTint="98" w:sz="12" w:space="0"/>
        </w:tcBorders>
      </w:tcPr>
    </w:tblStylePr>
  </w:style>
  <w:style w:type="table" w:styleId="895">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4" w:themeTint="9A" w:sz="12" w:space="0"/>
        </w:tcBorders>
      </w:tcPr>
    </w:tblStylePr>
    <w:tblStylePr w:type="lastCol">
      <w:rPr>
        <w:rFonts w:ascii="Liberation Sans" w:hAnsi="Liberation Sans"/>
        <w:color w:val="404040"/>
        <w:sz w:val="22"/>
      </w:rPr>
      <w:tcPr>
        <w:tcBorders>
          <w:left w:val="single" w:color="000000" w:themeColor="accent4" w:themeTint="9A" w:sz="12" w:space="0"/>
        </w:tcBorders>
      </w:tcPr>
    </w:tblStylePr>
    <w:tblStylePr w:type="lastRow">
      <w:rPr>
        <w:rFonts w:ascii="Liberation Sans" w:hAnsi="Liberation Sans"/>
        <w:color w:val="404040"/>
        <w:sz w:val="22"/>
      </w:rPr>
      <w:tcPr>
        <w:tcBorders>
          <w:top w:val="single" w:color="000000" w:themeColor="accent4" w:themeTint="9A" w:sz="12" w:space="0"/>
        </w:tcBorders>
      </w:tcPr>
    </w:tblStylePr>
  </w:style>
  <w:style w:type="table" w:styleId="896">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5" w:themeTint="9A" w:sz="12" w:space="0"/>
        </w:tcBorders>
      </w:tcPr>
    </w:tblStylePr>
    <w:tblStylePr w:type="lastCol">
      <w:rPr>
        <w:rFonts w:ascii="Liberation Sans" w:hAnsi="Liberation Sans"/>
        <w:color w:val="404040"/>
        <w:sz w:val="22"/>
      </w:rPr>
      <w:tcPr>
        <w:tcBorders>
          <w:left w:val="single" w:color="000000" w:themeColor="accent5" w:themeTint="9A" w:sz="12" w:space="0"/>
        </w:tcBorders>
      </w:tcPr>
    </w:tblStylePr>
    <w:tblStylePr w:type="lastRow">
      <w:rPr>
        <w:rFonts w:ascii="Liberation Sans" w:hAnsi="Liberation Sans"/>
        <w:color w:val="404040"/>
        <w:sz w:val="22"/>
      </w:rPr>
      <w:tcPr>
        <w:tcBorders>
          <w:top w:val="single" w:color="000000" w:themeColor="accent5" w:themeTint="9A" w:sz="12" w:space="0"/>
        </w:tcBorders>
      </w:tcPr>
    </w:tblStylePr>
  </w:style>
  <w:style w:type="table" w:styleId="897">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6" w:themeTint="98" w:sz="12" w:space="0"/>
        </w:tcBorders>
      </w:tcPr>
    </w:tblStylePr>
    <w:tblStylePr w:type="lastCol">
      <w:rPr>
        <w:rFonts w:ascii="Liberation Sans" w:hAnsi="Liberation Sans"/>
        <w:color w:val="404040"/>
        <w:sz w:val="22"/>
      </w:rPr>
      <w:tcPr>
        <w:tcBorders>
          <w:left w:val="single" w:color="000000" w:themeColor="accent6" w:themeTint="98" w:sz="12" w:space="0"/>
        </w:tcBorders>
      </w:tcPr>
    </w:tblStylePr>
    <w:tblStylePr w:type="lastRow">
      <w:rPr>
        <w:rFonts w:ascii="Liberation Sans" w:hAnsi="Liberation Sans"/>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uiPriority w:val="99"/>
    <w:unhideWhenUsed/>
    <w:rPr>
      <w:vertAlign w:val="superscript"/>
    </w:rPr>
  </w:style>
  <w:style w:type="paragraph" w:styleId="902">
    <w:name w:val="endnote text"/>
    <w:basedOn w:val="91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uiPriority w:val="99"/>
    <w:semiHidden/>
    <w:unhideWhenUsed/>
    <w:rPr>
      <w:vertAlign w:val="superscript"/>
    </w:rPr>
  </w:style>
  <w:style w:type="paragraph" w:styleId="905">
    <w:name w:val="toc 1"/>
    <w:basedOn w:val="916"/>
    <w:next w:val="916"/>
    <w:uiPriority w:val="39"/>
    <w:unhideWhenUsed/>
    <w:pPr>
      <w:ind w:left="0" w:right="0" w:firstLine="0"/>
      <w:spacing w:after="57"/>
    </w:p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qFormat/>
  </w:style>
  <w:style w:type="table" w:styleId="917" w:default="1">
    <w:name w:val="Normal Table"/>
    <w:uiPriority w:val="99"/>
    <w:semiHidden/>
    <w:unhideWhenUsed/>
    <w:tblPr>
      <w:tblInd w:w="0" w:type="dxa"/>
      <w:tblCellMar>
        <w:left w:w="108" w:type="dxa"/>
        <w:top w:w="0" w:type="dxa"/>
        <w:right w:w="108" w:type="dxa"/>
        <w:bottom w:w="0" w:type="dxa"/>
      </w:tblCellMar>
    </w:tblPr>
  </w:style>
  <w:style w:type="numbering" w:styleId="918" w:default="1">
    <w:name w:val="No List"/>
    <w:uiPriority w:val="99"/>
    <w:semiHidden/>
    <w:unhideWhenUsed/>
  </w:style>
  <w:style w:type="paragraph" w:styleId="919">
    <w:name w:val="No Spacing"/>
    <w:basedOn w:val="916"/>
    <w:uiPriority w:val="1"/>
    <w:qFormat/>
    <w:pPr>
      <w:spacing w:after="0" w:line="240" w:lineRule="auto"/>
    </w:pPr>
  </w:style>
  <w:style w:type="paragraph" w:styleId="920">
    <w:name w:val="List Paragraph"/>
    <w:basedOn w:val="916"/>
    <w:uiPriority w:val="34"/>
    <w:qFormat/>
    <w:pPr>
      <w:contextualSpacing/>
      <w:ind w:left="720"/>
    </w:pPr>
  </w:style>
  <w:style w:type="character" w:styleId="921"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Liberation Sans"/>
        <a:ea typeface="Liberation Sans"/>
        <a:cs typeface="Liberation Sans"/>
      </a:majorFont>
      <a:minorFont>
        <a:latin typeface="Liberation Sans"/>
        <a:ea typeface="Liberation Sans"/>
        <a:cs typeface="Liberation Sans"/>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Р7-Офис/2026.1.2.1942</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vorogushina</cp:lastModifiedBy>
  <cp:revision>8</cp:revision>
  <dcterms:modified xsi:type="dcterms:W3CDTF">2026-04-20T10:09:11Z</dcterms:modified>
</cp:coreProperties>
</file>