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both"/>
        <w:spacing w:after="120" w:line="240" w:lineRule="auto"/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color w:val="000000" w:themeColor="text1"/>
          <w:sz w:val="24"/>
          <w:szCs w:val="24"/>
          <w:highlight w:val="none"/>
        </w:rPr>
        <w:t xml:space="preserve">МОНИТОРИНГ на 27.04.2026</w:t>
      </w:r>
      <w:r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r>
    </w:p>
    <w:tbl>
      <w:tblPr>
        <w:tblStyle w:val="778"/>
        <w:tblW w:w="1006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4683"/>
        <w:gridCol w:w="5381"/>
      </w:tblGrid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pStyle w:val="926"/>
              <w:numPr>
                <w:ilvl w:val="0"/>
                <w:numId w:val="1"/>
              </w:numPr>
              <w:ind w:left="602" w:hanging="602"/>
              <w:jc w:val="both"/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  <w:t xml:space="preserve">Письмо ФАС России от 20.04.2026 № 28/37252/26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ind w:left="567" w:right="0" w:firstLine="0"/>
              <w:jc w:val="both"/>
              <w:shd w:val="nil" w:color="auto"/>
              <w:rPr>
                <w:rFonts w:ascii="Roboto" w:hAnsi="Roboto" w:eastAsia="Roboto" w:cs="Roboto"/>
                <w:color w:val="000000" w:themeColor="text1"/>
                <w:spacing w:val="10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  <w:highlight w:val="none"/>
              </w:rPr>
              <w:t xml:space="preserve">ФАС России разъяснила, что 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10"/>
                <w:sz w:val="26"/>
                <w:szCs w:val="26"/>
                <w:highlight w:val="none"/>
              </w:rPr>
              <w:t xml:space="preserve">заказчик не обязан обеспечивать наличие двух производителей из РРПП при описании объекта закупки</w:t>
            </w:r>
            <w:r>
              <w:rPr>
                <w:rFonts w:ascii="Roboto" w:hAnsi="Roboto" w:eastAsia="Roboto" w:cs="Roboto"/>
                <w:color w:val="000000" w:themeColor="text1"/>
                <w:spacing w:val="10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Roboto" w:hAnsi="Roboto" w:eastAsia="Roboto" w:cs="Roboto"/>
                <w:color w:val="000000" w:themeColor="text1"/>
                <w:spacing w:val="10"/>
                <w:sz w:val="24"/>
                <w:szCs w:val="24"/>
                <w:highlight w:val="whit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26"/>
              <w:numPr>
                <w:ilvl w:val="0"/>
                <w:numId w:val="4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Проект Постановления Правительства РФ №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pacing w:val="2"/>
                <w:sz w:val="26"/>
                <w:szCs w:val="26"/>
                <w:highlight w:val="none"/>
              </w:rPr>
              <w:t xml:space="preserve">1/01/04-26/00167196 «О внесении изменений в приложение № 3 к постановлению Правительства Российской Федерации от 23 декабря 2024 г. № 1875»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contextualSpacing w:val="0"/>
              <w:ind w:left="567" w:right="0" w:firstLine="0"/>
              <w:jc w:val="both"/>
              <w:shd w:val="nil" w:color="000000"/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 w:themeColor="text1"/>
                <w:spacing w:val="10"/>
                <w:sz w:val="26"/>
                <w:szCs w:val="26"/>
                <w:highlight w:val="none"/>
              </w:rPr>
              <w:t xml:space="preserve">Предложено 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10"/>
                <w:sz w:val="26"/>
                <w:szCs w:val="26"/>
                <w:highlight w:val="none"/>
              </w:rPr>
              <w:t xml:space="preserve">увеличение минимальной доли закупок российских принтеров и установление квоты для многофункциональных устройств (МФУ)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non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26"/>
              <w:numPr>
                <w:ilvl w:val="0"/>
                <w:numId w:val="3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Судебная и а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дминистративная практика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398"/>
        </w:trPr>
        <w:tc>
          <w:tcPr>
            <w:tcW w:w="4683" w:type="dxa"/>
            <w:vMerge w:val="restart"/>
            <w:textDirection w:val="lrTb"/>
            <w:noWrap w:val="false"/>
          </w:tcPr>
          <w:p>
            <w:pPr>
              <w:jc w:val="both"/>
              <w:shd w:val="nil"/>
              <w:rPr>
                <w:rFonts w:ascii="PT Astra Serif" w:hAnsi="PT Astra Serif" w:cs="PT Astra Serif"/>
                <w:bCs/>
                <w:i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остановление Девятого Арбитражного апелляционного суда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 от 08.04.2026 по делу № А40-124889/2025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</w:r>
          </w:p>
        </w:tc>
        <w:tc>
          <w:tcPr>
            <w:tcW w:w="5381" w:type="dxa"/>
            <w:vMerge w:val="restart"/>
            <w:textDirection w:val="lrTb"/>
            <w:noWrap w:val="false"/>
          </w:tcPr>
          <w:p>
            <w:pPr>
              <w:jc w:val="both"/>
              <w:shd w:val="nil"/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Положения  Закона № 44-ФЗ к содержанию протокола рассмотрения и оценки вторых частей заявок не обязывают детально раскрывать алгоритм расчета баллов, конкретные критерии  оценки. При этом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участник закупки имеет возможность запросить разъяснения информации относительно его заявки, представленной в протоколе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398"/>
        </w:trPr>
        <w:tc>
          <w:tcPr>
            <w:tcW w:w="4683" w:type="dxa"/>
            <w:vMerge w:val="restart"/>
            <w:textDirection w:val="lrTb"/>
            <w:noWrap w:val="false"/>
          </w:tcPr>
          <w:p>
            <w:pPr>
              <w:jc w:val="both"/>
              <w:shd w:val="nil"/>
              <w:rPr>
                <w:rFonts w:ascii="PT Astra Serif" w:hAnsi="PT Astra Serif" w:cs="PT Astra Serif"/>
                <w:i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Постановление Арбитражного суда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Московского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 округа от 13.04.2026 по делу № А40-124540/2025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</w:p>
          <w:p>
            <w:pPr>
              <w:jc w:val="both"/>
              <w:shd w:val="nil"/>
              <w:rPr>
                <w:rFonts w:ascii="PT Astra Serif" w:hAnsi="PT Astra Serif" w:cs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</w:p>
        </w:tc>
        <w:tc>
          <w:tcPr>
            <w:tcW w:w="5381" w:type="dxa"/>
            <w:vMerge w:val="restart"/>
            <w:textDirection w:val="lrTb"/>
            <w:noWrap w:val="false"/>
          </w:tcPr>
          <w:p>
            <w:pPr>
              <w:jc w:val="both"/>
              <w:shd w:val="nil"/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Предоставление участником закупки в подтверждение происхождения товара лишней выписки из реестра российской промышленной продукции при наличии верной, не свидетельствует о наличии недостоверной информации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398"/>
        </w:trPr>
        <w:tc>
          <w:tcPr>
            <w:tcW w:w="468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Решение УФАС России по Ростовской области от 19.03.2026 по делу </w:t>
              <w:br/>
              <w:t xml:space="preserve">№ 061/06/105-671/2026</w:t>
            </w:r>
            <w:r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r>
          </w:p>
          <w:p>
            <w:pPr>
              <w:jc w:val="both"/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yellow"/>
              </w:rPr>
            </w:r>
            <w:r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yellow"/>
              </w:rPr>
            </w:r>
            <w:r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yellow"/>
              </w:rPr>
            </w:r>
          </w:p>
        </w:tc>
        <w:tc>
          <w:tcPr>
            <w:tcW w:w="5381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hd w:val="nil" w:color="auto"/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Установление 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нечетких требований к составу заявки участника закупки в нарушение Постановления № 1875 и Закона № 44-ФЗ влечет неправомерное отклонение заявки участника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</w:r>
          </w:p>
        </w:tc>
      </w:tr>
    </w:tbl>
    <w:p>
      <w:pPr>
        <w:jc w:val="both"/>
        <w:spacing w:after="0" w:line="240" w:lineRule="auto"/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ь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м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Ф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А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Р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т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0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0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4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0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6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8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/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3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7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5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/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6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«О рассмотрении обращения»</w:t>
      </w: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Заказчик при описании объекта закупки самостоятельно указывает функциональные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технические и качественные характеристики, эксплуатационные характеристики объекта закупки, а также требования к качеству товаров в целях удовлетворения государственных (муницип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альных) нужд или удовлетворения потребностей юридических лиц, исходя из необходимости достижения результатов и эффективности закупки, руководствуясь положениями Закона № 44-ФЗ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при условии, что такие требования не ограничивают количество участников закупки или конкуренцию.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Кроме того, действующим законодательством Российской Федерации в сфере 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акупок не предусмотрена обязанность заказчика формировать описание объекта закупки таким образом, чтобы по совокупности характеристик подходило как минимум два производителя, сведения о продукции которых содержатся в реестре промышленной продукции.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Проект Постановления Правительства РФ 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№ 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1/01/04-26/00167196 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«О внесении изменений в приложение № 3 к постановлению Правительства Российской Федерации от 23 декабря 2024 г. № 1875»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whit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Предложено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увеличение минимальной доли закупок российских принтеров и установление квоты для многофункциональных устройств (МФУ)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whit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воту закупок по коду ОКПД2 26.20.16 (включая принтеры) предложено увеличить с 30% до 50%.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3 к Постановлению № 1875 предложено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дополнить новой позицией — ОКПД2 26.20.18 (МФУ) с установлением квоты на уровне 50%.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Проект постановления находится на этапе общественного обсуждения, который завершится 30 апреля 2026 года.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Style w:val="904"/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hyperlink r:id="rId12" w:tooltip="https://regulation.gov.ru/projects/167196/" w:history="1">
        <w:r>
          <w:rPr>
            <w:rStyle w:val="904"/>
            <w:rFonts w:ascii="PT Astra Serif" w:hAnsi="PT Astra Serif" w:eastAsia="PT Astra Serif" w:cs="PT Astra Serif"/>
            <w:color w:val="000000" w:themeColor="text1"/>
            <w:sz w:val="26"/>
            <w:szCs w:val="26"/>
            <w:highlight w:val="none"/>
            <w14:ligatures w14:val="none"/>
          </w:rPr>
          <w:t xml:space="preserve">https://regulation.gov.ru/projects/167196/</w:t>
        </w:r>
        <w:r>
          <w:rPr>
            <w:rStyle w:val="904"/>
            <w:rFonts w:ascii="PT Astra Serif" w:hAnsi="PT Astra Serif" w:eastAsia="PT Astra Serif" w:cs="PT Astra Serif"/>
            <w:color w:val="000000" w:themeColor="text1"/>
            <w:sz w:val="26"/>
            <w:szCs w:val="26"/>
            <w:highlight w:val="none"/>
            <w14:ligatures w14:val="none"/>
          </w:rPr>
        </w:r>
        <w:r>
          <w:rPr>
            <w:rStyle w:val="904"/>
            <w:rFonts w:ascii="PT Astra Serif" w:hAnsi="PT Astra Serif" w:eastAsia="PT Astra Serif" w:cs="PT Astra Serif"/>
            <w:color w:val="000000" w:themeColor="text1"/>
            <w:sz w:val="26"/>
            <w:szCs w:val="26"/>
            <w:highlight w:val="none"/>
            <w14:ligatures w14:val="none"/>
          </w:rPr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 w:color="000000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П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остановление Девятого Арбитражного апелляционного суда 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 от 08.04.2026 по делу № А40-124889/2025</w:t>
      </w:r>
      <w:r>
        <w:rPr>
          <w:rFonts w:ascii="PT Astra Serif" w:hAnsi="PT Astra Serif" w:cs="PT Astra Serif"/>
          <w:i/>
          <w:iCs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i/>
          <w:iCs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Заявитель: Учреждение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Учреждение разместило извещение о проведении открытого конкурса в электронн</w:t>
      </w:r>
      <w:r>
        <w:rPr>
          <w:rFonts w:ascii="PT Astra Serif" w:hAnsi="PT Astra Serif"/>
          <w:sz w:val="26"/>
          <w:szCs w:val="26"/>
          <w:highlight w:val="none"/>
        </w:rPr>
        <w:t xml:space="preserve">ой форме на выполнение комплекса работ по разр</w:t>
      </w:r>
      <w:r>
        <w:rPr>
          <w:rFonts w:ascii="PT Astra Serif" w:hAnsi="PT Astra Serif"/>
          <w:sz w:val="26"/>
          <w:szCs w:val="26"/>
          <w:highlight w:val="none"/>
        </w:rPr>
        <w:t xml:space="preserve">аботке проектно-сметной документации, разработке рабочей документации, включая получение положительного заключения государственной экспертизы, выполнение строительно-монтажных работ. 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contextualSpacing w:val="0"/>
        <w:ind w:firstLine="425"/>
        <w:jc w:val="both"/>
        <w:spacing w:after="0" w:line="240" w:lineRule="auto"/>
        <w:rPr>
          <w:rFonts w:eastAsia="Times New Roman" w:cs="Times New Roman"/>
          <w:sz w:val="26"/>
          <w:szCs w:val="26"/>
        </w:rPr>
        <w:suppressLineNumbers w:val="0"/>
      </w:pPr>
      <w:r>
        <w:rPr>
          <w:rFonts w:ascii="PT Astra Serif" w:hAnsi="PT Astra Serif"/>
          <w:sz w:val="26"/>
          <w:szCs w:val="26"/>
          <w:highlight w:val="none"/>
        </w:rPr>
        <w:t xml:space="preserve">   В Управление поступила жалоба Общества на действия комиссии в части проведения процедуры рассмотрения и оценки вторых частей заявок и ненадлежащего формирования протокола вторых частей з</w:t>
      </w:r>
      <w:r>
        <w:rPr>
          <w:rFonts w:ascii="PT Astra Serif" w:hAnsi="PT Astra Serif"/>
          <w:sz w:val="26"/>
          <w:szCs w:val="26"/>
          <w:highlight w:val="none"/>
        </w:rPr>
        <w:t xml:space="preserve">аявок.</w:t>
      </w: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</w:p>
    <w:p>
      <w:pPr>
        <w:contextualSpacing w:val="0"/>
        <w:ind w:firstLine="709"/>
        <w:jc w:val="both"/>
        <w:spacing w:before="0" w:after="0" w:line="240" w:lineRule="auto"/>
        <w:rPr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правление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установило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, что протокол содержит нарушение  Закона № 44-ФЗ, в нем отсутствует информация о механизме присвоения баллов участникам,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не указаны показатели оценки, такие как сумма  и  количество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исполненных контрактов (договоров)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, а также не приведены конкретные расчеты квалификации участников. Это делает невозможной проверку корректности начисленных баллов для участника закупки.</w:t>
      </w:r>
      <w:r>
        <w:rPr>
          <w:highlight w:val="none"/>
        </w:rPr>
      </w:r>
      <w:r>
        <w:rPr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rPr>
          <w:rFonts w:ascii="PT Astra Serif" w:hAnsi="PT Astra Serif" w:cs="PT Astra Serif"/>
          <w:color w:val="000000"/>
          <w:sz w:val="26"/>
          <w:szCs w:val="26"/>
        </w:rPr>
        <w:suppressLineNumbers w:val="0"/>
      </w:pPr>
      <w:r>
        <w:rPr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  <w:t xml:space="preserve">Решением Управления жалоба признана обоснованной, в действиях Учреждения выявлено нарушение пункта 1 части 11 статьи 48, части 13 статьи 48 Закона № 44-ФЗ, выдано предписание.</w:t>
      </w:r>
      <w:r>
        <w:rPr>
          <w:rFonts w:ascii="PT Astra Serif" w:hAnsi="PT Astra Serif" w:cs="PT Astra Serif"/>
          <w:color w:val="000000"/>
          <w:sz w:val="26"/>
          <w:szCs w:val="26"/>
        </w:rPr>
      </w:r>
      <w:r>
        <w:rPr>
          <w:rFonts w:ascii="PT Astra Serif" w:hAnsi="PT Astra Serif" w:cs="PT Astra Serif"/>
          <w:color w:val="000000"/>
          <w:sz w:val="26"/>
          <w:szCs w:val="26"/>
        </w:rPr>
      </w:r>
    </w:p>
    <w:p>
      <w:pPr>
        <w:contextualSpacing w:val="0"/>
        <w:ind w:firstLine="425"/>
        <w:jc w:val="both"/>
        <w:spacing w:before="0" w:after="0" w:line="240" w:lineRule="auto"/>
        <w:rPr>
          <w:rFonts w:ascii="PT Astra Serif" w:hAnsi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/>
          <w:sz w:val="26"/>
          <w:szCs w:val="26"/>
          <w:highlight w:val="white"/>
        </w:rPr>
        <w:tab/>
      </w:r>
      <w:r>
        <w:rPr>
          <w:rFonts w:ascii="PT Astra Serif" w:hAnsi="PT Astra Serif"/>
          <w:sz w:val="26"/>
          <w:szCs w:val="26"/>
          <w:highlight w:val="white"/>
        </w:rPr>
        <w:t xml:space="preserve">Заявитель</w:t>
      </w:r>
      <w:r>
        <w:rPr>
          <w:rFonts w:ascii="PT Astra Serif" w:hAnsi="PT Astra Serif"/>
          <w:sz w:val="26"/>
          <w:szCs w:val="26"/>
          <w:highlight w:val="white"/>
        </w:rPr>
        <w:t xml:space="preserve">,</w:t>
      </w:r>
      <w:r>
        <w:rPr>
          <w:rFonts w:ascii="PT Astra Serif" w:hAnsi="PT Astra Serif"/>
          <w:sz w:val="26"/>
          <w:szCs w:val="26"/>
          <w:highlight w:val="none"/>
        </w:rPr>
        <w:t xml:space="preserve"> не согласившись в решением Управления, обр</w:t>
      </w:r>
      <w:r>
        <w:rPr>
          <w:rFonts w:ascii="PT Astra Serif" w:hAnsi="PT Astra Serif"/>
          <w:sz w:val="26"/>
          <w:szCs w:val="26"/>
          <w:highlight w:val="none"/>
        </w:rPr>
        <w:t xml:space="preserve">атился в суд.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contextualSpacing w:val="0"/>
        <w:ind w:firstLine="425"/>
        <w:jc w:val="both"/>
        <w:spacing w:before="0" w:after="0" w:line="240" w:lineRule="auto"/>
        <w:rPr>
          <w:rFonts w:ascii="PT Astra Serif" w:hAnsi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/>
          <w:sz w:val="26"/>
          <w:szCs w:val="26"/>
          <w:highlight w:val="none"/>
        </w:rPr>
        <w:t xml:space="preserve">    Суды первой и </w:t>
      </w:r>
      <w:r>
        <w:rPr>
          <w:rFonts w:ascii="PT Astra Serif" w:hAnsi="PT Astra Serif"/>
          <w:sz w:val="26"/>
          <w:szCs w:val="26"/>
          <w:highlight w:val="none"/>
        </w:rPr>
        <w:t xml:space="preserve">апелляционной </w:t>
      </w:r>
      <w:r>
        <w:rPr>
          <w:rFonts w:ascii="PT Astra Serif" w:hAnsi="PT Astra Serif"/>
          <w:sz w:val="26"/>
          <w:szCs w:val="26"/>
          <w:highlight w:val="none"/>
        </w:rPr>
        <w:t xml:space="preserve">инстанции, удовлетворяя  требования, исходили из следующего.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contextualSpacing w:val="0"/>
        <w:ind w:firstLine="425"/>
        <w:jc w:val="both"/>
        <w:spacing w:before="0" w:after="0" w:line="240" w:lineRule="auto"/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  <w:suppressLineNumbers w:val="0"/>
      </w:pPr>
      <w:r>
        <w:rPr>
          <w:rFonts w:ascii="PT Astra Serif" w:hAnsi="PT Astra Serif"/>
          <w:sz w:val="26"/>
          <w:szCs w:val="26"/>
          <w:highlight w:val="none"/>
        </w:rPr>
        <w:tab/>
        <w:t xml:space="preserve">В соответствии с пунктом 4 части 1 статьи 32 Закона № 44-ФЗ для оценки заявок участников закупки заказчик оценивает по критериям: квалификация участников закупки,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налич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ие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 и  деловая репутация, а также квалификация специалистов и работников (далее -  Критерии).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</w:p>
    <w:p>
      <w:pPr>
        <w:contextualSpacing w:val="0"/>
        <w:ind w:firstLine="708"/>
        <w:jc w:val="both"/>
        <w:spacing w:before="0" w:after="0" w:line="240" w:lineRule="auto"/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  <w:t xml:space="preserve">В силу части 13 статьи 48 Закона № 44-ФЗ протокол рассмотрения и оценки вторых частей з</w:t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  <w:t xml:space="preserve">аявок на участие (далее- Протокол)  в закупке должен содержать: д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ату рассмотрения и оценки вторых частей заявок и идентификационные номера заявок; решение о соответствии/отклонении второй части заявки  с обоснованием и указания несоответствий; присвоенные вторым частям заявок значения по критерию, предусмотренному пу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нктом 4 части 1 статьи 32 Закона № 44-ФЗ (для соответствующих заявок); решение каждого члена комиссии по каждой заявке; информацию о признании определения поставщика (подрядчика, исполнителя) несостоявшимися, предусмотренных пунктом 2 и 4 части 1 статьи 52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Закона № 44-ФЗ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rPr>
          <w:rFonts w:ascii="PT Astra Serif" w:hAnsi="PT Astra Serif" w:eastAsia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  <w:t xml:space="preserve">Согласно протоколу, заявке Общества по Критериям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присвоено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0,00 баллов.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rPr>
          <w:rFonts w:ascii="PT Astra Serif" w:hAnsi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Суды пришли к выводу, что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протокол содержит все сведения, предусмотренные частью 13 статьи 48 Закона № 44-ФЗ.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Статья 48 Закона № 44-ФЗ устанавливает требования к содержанию протоколов, а именно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отражение  только присвоенного каждой заявке количества баллов по критерию оценки, без описания порядка и последовательности присвоения баллов и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не обязывает детализировать расчеты и баллы по показателям.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  <w:t xml:space="preserve">В соответствии с частью 18 статьи 48 Закона № 44-ФЗ участник имеет возможность направить запрос о даче разъяснения информации, содержащейся в протоколе в отношении его заявки. Обществом запрос о разъяснениях не направлялся.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  <w:t xml:space="preserve">Учитывая изложенное, в действиях комиссии Учреждения нарушение не доказано.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/>
        <w:rPr>
          <w:rFonts w:ascii="PT Astra Serif" w:hAnsi="PT Astra Serif" w:cs="PT Astra Serif"/>
          <w:i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lang w:eastAsia="ru-RU"/>
        </w:rPr>
        <w:t xml:space="preserve">П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lang w:eastAsia="ru-RU"/>
        </w:rPr>
        <w:t xml:space="preserve">остановление Арбитражного суда 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lang w:eastAsia="ru-RU"/>
        </w:rPr>
        <w:t xml:space="preserve">Московского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lang w:eastAsia="ru-RU"/>
        </w:rPr>
        <w:t xml:space="preserve"> округа от 13.04.2026 по делу </w:t>
        <w:br/>
        <w:t xml:space="preserve">№ А40-124540/2025 </w:t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  <w:t xml:space="preserve">Заявитель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  <w:t xml:space="preserve">: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  <w:t xml:space="preserve">Учреждение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lang w:eastAsia="ru-RU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lang w:eastAsia="ru-RU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  <w:t xml:space="preserve">Учреждением размещено извещение о проведении  электронного аукциона на поставку масок лицевых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  <w:t xml:space="preserve">, применена позиция КТРУ 32.50.50.190-00002972 «Маска лицевая для защиты дыхательных путей, одноразового использования». Установлен запрет на допуск товаров, происходящих из иностранных государств по Постановлению № 1875.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lang w:eastAsia="ru-RU"/>
        </w:rPr>
        <w:t xml:space="preserve">В Московское УФАС России поступила жалоба Общества на действия Учреждения. Согласно протоколу подведения итогов опре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lang w:eastAsia="ru-RU"/>
        </w:rPr>
        <w:t xml:space="preserve">деления поставщика заявка Общества отклонена в связи с выявлением недостоверной информации, содержащейся в заявке  (номер реестровой записи из реестра российской промышленной продукции, не совпадает с данными представленными в заявке).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  <w:t xml:space="preserve">Решением Московского УФАС в действиях Учреждения выявлено нарушение подпункта «а» пункта 1 части 5 статьи 49 Закона № 44-ФЗ, выдано предписание.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/>
        <w:rPr>
          <w:rFonts w:ascii="PT Astra Serif" w:hAnsi="PT Astra Serif" w:cs="PT Astra Serif"/>
          <w:color w:val="000000" w:themeColor="text1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  <w:t xml:space="preserve">Учреждение, не согласившись с решением УФАС, обратилось с заявлением в Арбитр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eastAsia="ru-RU"/>
        </w:rPr>
        <w:t xml:space="preserve">ажный суд.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Суды, отказывая в удовлетворении, исходили из следующего.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Согласно Постановлению № 1875  документами, подтверждающими страну происхождения товара, указанного в позициях 1-145 приложения № 2 и № 3 данного постановления, является номер реестровой записи из рее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стра российской промышленной продукции и информацию о совокупном количестве баллов за выполнение (освоение) на территории Российской Федерации,  если  в  отношении  такого  товара  Постановлением № 719 установлены требования о совокупном количестве баллов.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Установлено, что Обществом в составе заявки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был предложен товар «Маска лицевая для защиты дыхательных путей, одноразового использования», представлены две выписки из реестра товаров, на маски медицинские одноразовые трехслойные и  в структурированной части  выписка на бахилы медицинские одноразовые.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 Суды указали, что предст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авленная Обществом выписка из реестра российской промышленной продукции подтверждает страну происхождения товара и у комиссии Учреждения отсутствовали основания для выявления недостоверной информации относительно подтверждения страны происхождения товара.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firstLine="0"/>
        <w:jc w:val="both"/>
        <w:spacing w:after="0" w:line="240" w:lineRule="auto"/>
        <w:rPr>
          <w:rFonts w:ascii="PT Astra Serif" w:hAnsi="PT Astra Serif" w:eastAsia="PT Astra Serif" w:cs="PT Astra Serif"/>
          <w:color w:val="000000" w:themeColor="text1"/>
          <w:spacing w:val="1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pacing w:val="1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pacing w:val="1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pacing w:val="1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Решение УФАС России по Ростовской области от 19.03.2026 по делу </w:t>
        <w:br/>
        <w:t xml:space="preserve">№ 061/06/105-671/2026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Заявитель: ИП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ИП обратился в УФАС с жалобой на действия Учреждения при проведении электронного аукциона, выразившиеся в неверном указании основания для отклонения заявки ИП.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Согласно извещению о проведении закупки, Учреждением установлено ограничение закупок товаров, происходящих из иностранных государств, выполняемых работ, оказываемых иностранными лицами.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Заявка ИП отклонена по основанию, предусмотренному пунктом 5 части 12 статьи 48 Закона № 44-ФЗ – непредоставление информации и документов.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При этом, поскольку в заявке ИП предложен товар иностранного производства, то данная заявка подлежала отклонению на основании пункта 4 части 12 статьи 48 Закона № 44-ФЗ.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t xml:space="preserve">В рамках внеплановой проверки УФАС установлено следующее.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pStyle w:val="926"/>
        <w:numPr>
          <w:ilvl w:val="0"/>
          <w:numId w:val="27"/>
        </w:numPr>
        <w:contextualSpacing w:val="0"/>
        <w:ind w:left="0" w:right="0"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извещении о проведении закупки в нарушение части 1 статьи 42 Закона </w:t>
        <w:br/>
        <w:t xml:space="preserve">№ 44-ФЗ отсутствует информация о порядке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предоставления обеспечения исполнения контракта, требования к нему, а также отсутствует информация о реквизитах счета, в нарушение части 2 статьи 42 Закона № 44-ФЗ в проекте контракта установлены требования к обеспечению заявки, а не обеспечения исполнения контракта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pStyle w:val="926"/>
        <w:numPr>
          <w:ilvl w:val="0"/>
          <w:numId w:val="27"/>
        </w:numPr>
        <w:contextualSpacing w:val="0"/>
        <w:ind w:left="0" w:right="0"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t xml:space="preserve">Учреждение установило требование об указании соответствия ТР ТС 025/2012 «О безопасности мебельной продукции» в составе заявки, чем нарушило часть 2 статьи 42 Закона № 44-ФЗ.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УФАС отметило, что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характеристики товара устанавливаются в том числе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однако, соответствие конкретному национальному стандар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ту не является качественной, технической, эксплуатационной характеристикой товара и не требует отражения в заявке на участие в закупке.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</w:p>
    <w:p>
      <w:pPr>
        <w:pStyle w:val="926"/>
        <w:numPr>
          <w:ilvl w:val="0"/>
          <w:numId w:val="27"/>
        </w:numPr>
        <w:contextualSpacing w:val="0"/>
        <w:ind w:left="0" w:right="0"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соответствии с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частью 2 статьи 42 Закона № 44-ФЗ извещение об осуществлении закупки, если иное не предусмотрено Законом № 44-ФЗ, должно содержать требования к содержанию, составу заявки на участие в закупке в соответствии с Законом № 44-ФЗ и инструкцию по ее заполнению.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Согласно части 1 статьи 14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Закона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№ 44-ФЗ при закупках предоставляется национальный режим, обеспечивающий равные условия для товаров, работ и услуг иностранного и российского происхождения, за исключением случаев, установленных Правительством РФ (Постановлением № 1875).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Пунктом 1 Постановления № 1875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ранными лицами, по перечню согласно приложению № 2.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На основании подпункта в) пункта 4 Постановления № 1875 к включенным в объект закупки товарам, работам, услугам, указанным в приложении № 2 к настоящему постановлению, применяются положения настоящего постан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овления, касающиеся ограничения, указанного в пункте 1 настоящего постановления.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Информация и документы, подтверждающие страну происхождения товара для целей Постановления №1875, определены в пункте 3 и пункте 10 Постановления № 1875.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Учреждением в требованиях к содер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жанию и составу заявок установлено: «3. Предложение участника закупки в отношении объекта закупки: г) если в извещении установлено, что при проведении электронного аукциона применяются запреты, ограничения, преимущества в соответствии с положениями ст. 14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Закона № 44-ФЗ, - информацию и документы, предусмотренные соответствующим нормативным правовым актом. Если они не будут включены в заявку, ее приравняют к заявке, которая содержит предложение о поставке товаров, происходящих из иностранного государства, ра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бот, услуг, соответственно выполняемых, оказываемых иностранными лицами.». </w:t>
      </w:r>
      <w:r/>
      <w:r/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Учрежден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ием в нарушение части 2 статьи 42 Закона № 44-ФЗ ненадлежащим образом установлены документы и сведения, предоставляемые участниками закупки в целях подтверждения страны происхождения предлагаемого к поставке товара в соответствии с Постановлением № 1875.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Указанное нарушение положений Закона № 44-ФЗ повлекло за собой нарушение в действиях Учреждения положений статьи 49 Закона № 44-ФЗ, поскольку положения национального режима при рассмотрении заявок на участие в закупке применены ненадлежащим образом, так как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для применения «защитных мер» заявка участника должна содержать все товары с подтвержденной страной происхождения Российской Федерацией.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УФАС признало жалобу ИП обоснованной, в действиях Учреждения установлены нарушения частей 1,2 статьи 42, части 5 статьи 49 Закона № 44-ФЗ.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pacing w:val="1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pacing w:val="10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pacing w:val="10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b w:val="0"/>
          <w:bCs/>
          <w:i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/>
          <w:iCs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i/>
          <w:iCs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/>
          <w:i/>
          <w:sz w:val="26"/>
          <w:szCs w:val="26"/>
          <w:highlight w:val="none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567" w:bottom="1134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Roboto">
    <w:panose1 w:val="02000000000000000000"/>
  </w:font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2"/>
      <w:jc w:val="center"/>
      <w:rPr>
        <w:rFonts w:ascii="PT Astra Serif" w:hAnsi="PT Astra Serif" w:cs="PT Astra Serif"/>
      </w:rPr>
    </w:pPr>
    <w:fldSimple w:instr="PAGE \* MERGEFORMAT">
      <w:r>
        <w:rPr>
          <w:rFonts w:ascii="PT Astra Serif" w:hAnsi="PT Astra Serif" w:eastAsia="PT Astra Serif" w:cs="PT Astra Serif"/>
        </w:rPr>
        <w:t xml:space="preserve">1</w:t>
      </w:r>
    </w:fldSimple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  <w:p>
    <w:pPr>
      <w:pStyle w:val="77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57" w:hanging="357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322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4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6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8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0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2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4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6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82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Roboto" w:hAnsi="Roboto" w:eastAsia="Roboto" w:cs="Roboto"/>
        <w:color w:val="1c1c21"/>
        <w:spacing w:val="1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80808"/>
        <w:spacing w:val="-5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80808"/>
        <w:spacing w:val="-5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80808"/>
        <w:spacing w:val="-5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80808"/>
        <w:spacing w:val="-5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80808"/>
        <w:spacing w:val="-5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80808"/>
        <w:spacing w:val="-5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80808"/>
        <w:spacing w:val="-5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80808"/>
        <w:spacing w:val="-5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80808"/>
        <w:spacing w:val="-5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80808"/>
        <w:spacing w:val="-5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80808"/>
        <w:spacing w:val="-5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80808"/>
        <w:spacing w:val="-5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80808"/>
        <w:spacing w:val="-5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80808"/>
        <w:spacing w:val="-5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80808"/>
        <w:spacing w:val="-5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80808"/>
        <w:spacing w:val="-5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80808"/>
        <w:spacing w:val="-5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80808"/>
        <w:spacing w:val="-5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6">
    <w:name w:val="Heading 1"/>
    <w:basedOn w:val="922"/>
    <w:next w:val="922"/>
    <w:link w:val="74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47">
    <w:name w:val="Heading 1 Char"/>
    <w:link w:val="74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48">
    <w:name w:val="Heading 2"/>
    <w:basedOn w:val="922"/>
    <w:next w:val="922"/>
    <w:link w:val="74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9">
    <w:name w:val="Heading 2 Char"/>
    <w:link w:val="748"/>
    <w:uiPriority w:val="9"/>
    <w:rPr>
      <w:rFonts w:ascii="Liberation Sans" w:hAnsi="Liberation Sans" w:eastAsia="Liberation Sans" w:cs="Liberation Sans"/>
      <w:sz w:val="34"/>
    </w:rPr>
  </w:style>
  <w:style w:type="paragraph" w:styleId="750">
    <w:name w:val="Heading 3"/>
    <w:basedOn w:val="922"/>
    <w:next w:val="922"/>
    <w:link w:val="75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51">
    <w:name w:val="Heading 3 Char"/>
    <w:link w:val="75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52">
    <w:name w:val="Heading 4"/>
    <w:basedOn w:val="922"/>
    <w:next w:val="922"/>
    <w:link w:val="75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3">
    <w:name w:val="Heading 4 Char"/>
    <w:link w:val="75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4">
    <w:name w:val="Heading 5"/>
    <w:basedOn w:val="922"/>
    <w:next w:val="922"/>
    <w:link w:val="75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5">
    <w:name w:val="Heading 5 Char"/>
    <w:link w:val="75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6">
    <w:name w:val="Heading 6"/>
    <w:basedOn w:val="922"/>
    <w:next w:val="922"/>
    <w:link w:val="75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7">
    <w:name w:val="Heading 6 Char"/>
    <w:link w:val="75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8">
    <w:name w:val="Heading 7"/>
    <w:basedOn w:val="922"/>
    <w:next w:val="922"/>
    <w:link w:val="75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9">
    <w:name w:val="Heading 7 Char"/>
    <w:link w:val="75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0">
    <w:name w:val="Heading 8"/>
    <w:basedOn w:val="922"/>
    <w:next w:val="922"/>
    <w:link w:val="76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1">
    <w:name w:val="Heading 8 Char"/>
    <w:link w:val="76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62">
    <w:name w:val="Heading 9"/>
    <w:basedOn w:val="922"/>
    <w:next w:val="922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3">
    <w:name w:val="Heading 9 Char"/>
    <w:link w:val="76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4">
    <w:name w:val="Title"/>
    <w:basedOn w:val="922"/>
    <w:next w:val="922"/>
    <w:link w:val="76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5">
    <w:name w:val="Title Char"/>
    <w:link w:val="764"/>
    <w:uiPriority w:val="10"/>
    <w:rPr>
      <w:sz w:val="48"/>
      <w:szCs w:val="48"/>
    </w:rPr>
  </w:style>
  <w:style w:type="paragraph" w:styleId="766">
    <w:name w:val="Subtitle"/>
    <w:basedOn w:val="922"/>
    <w:next w:val="922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>
    <w:name w:val="Subtitle Char"/>
    <w:link w:val="766"/>
    <w:uiPriority w:val="11"/>
    <w:rPr>
      <w:sz w:val="24"/>
      <w:szCs w:val="24"/>
    </w:rPr>
  </w:style>
  <w:style w:type="paragraph" w:styleId="768">
    <w:name w:val="Quote"/>
    <w:basedOn w:val="922"/>
    <w:next w:val="922"/>
    <w:link w:val="769"/>
    <w:uiPriority w:val="29"/>
    <w:qFormat/>
    <w:pPr>
      <w:ind w:left="720" w:right="720"/>
    </w:pPr>
    <w:rPr>
      <w:i/>
    </w:rPr>
  </w:style>
  <w:style w:type="character" w:styleId="769">
    <w:name w:val="Quote Char"/>
    <w:link w:val="768"/>
    <w:uiPriority w:val="29"/>
    <w:rPr>
      <w:i/>
    </w:rPr>
  </w:style>
  <w:style w:type="paragraph" w:styleId="770">
    <w:name w:val="Intense Quote"/>
    <w:basedOn w:val="922"/>
    <w:next w:val="922"/>
    <w:link w:val="7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>
    <w:name w:val="Intense Quote Char"/>
    <w:link w:val="770"/>
    <w:uiPriority w:val="30"/>
    <w:rPr>
      <w:i/>
    </w:rPr>
  </w:style>
  <w:style w:type="paragraph" w:styleId="772">
    <w:name w:val="Header"/>
    <w:basedOn w:val="922"/>
    <w:link w:val="7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3">
    <w:name w:val="Header Char"/>
    <w:link w:val="772"/>
    <w:uiPriority w:val="99"/>
  </w:style>
  <w:style w:type="paragraph" w:styleId="774">
    <w:name w:val="Footer"/>
    <w:basedOn w:val="922"/>
    <w:link w:val="7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5">
    <w:name w:val="Footer Char"/>
    <w:link w:val="774"/>
    <w:uiPriority w:val="99"/>
  </w:style>
  <w:style w:type="paragraph" w:styleId="776">
    <w:name w:val="Caption"/>
    <w:basedOn w:val="922"/>
    <w:next w:val="922"/>
    <w:link w:val="7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7">
    <w:name w:val="Caption Char"/>
    <w:link w:val="776"/>
    <w:uiPriority w:val="35"/>
    <w:rPr>
      <w:b/>
      <w:bCs/>
      <w:color w:val="4f81bd" w:themeColor="accent1"/>
      <w:sz w:val="18"/>
      <w:szCs w:val="18"/>
    </w:rPr>
  </w:style>
  <w:style w:type="table" w:styleId="778">
    <w:name w:val="Table Grid"/>
    <w:basedOn w:val="92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>
    <w:name w:val="Table Grid Light"/>
    <w:basedOn w:val="9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>
    <w:name w:val="Plain Table 1"/>
    <w:basedOn w:val="9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1">
    <w:name w:val="Plain Table 2"/>
    <w:basedOn w:val="92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2">
    <w:name w:val="Plain Table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3">
    <w:name w:val="Plain Table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Plain Table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5">
    <w:name w:val="Grid Table 1 Light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4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7">
    <w:name w:val="Grid Table 4 - Accent 1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8">
    <w:name w:val="Grid Table 4 - Accent 2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Grid Table 4 - Accent 3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0">
    <w:name w:val="Grid Table 4 - Accent 4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Grid Table 4 - Accent 5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2">
    <w:name w:val="Grid Table 4 - Accent 6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3">
    <w:name w:val="Grid Table 5 Dark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17">
    <w:name w:val="Grid Table 5 Dark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18">
    <w:name w:val="Grid Table 5 Dark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19">
    <w:name w:val="Grid Table 5 Dark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20">
    <w:name w:val="Grid Table 6 Colorful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21">
    <w:name w:val="Grid Table 6 Colorful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22">
    <w:name w:val="Grid Table 6 Colorful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23">
    <w:name w:val="Grid Table 6 Colorful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24">
    <w:name w:val="Grid Table 6 Colorful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25">
    <w:name w:val="Grid Table 6 Colorful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6">
    <w:name w:val="Grid Table 6 Colorful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7">
    <w:name w:val="Grid Table 7 Colorful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2">
    <w:name w:val="List Table 2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3">
    <w:name w:val="List Table 2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4">
    <w:name w:val="List Table 2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5">
    <w:name w:val="List Table 2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6">
    <w:name w:val="List Table 2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7">
    <w:name w:val="List Table 2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8">
    <w:name w:val="List Table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5 Dark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3">
    <w:name w:val="List Table 5 Dark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4">
    <w:name w:val="List Table 5 Dark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5">
    <w:name w:val="List Table 5 Dark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6">
    <w:name w:val="List Table 5 Dark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7">
    <w:name w:val="List Table 5 Dark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8">
    <w:name w:val="List Table 5 Dark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9">
    <w:name w:val="List Table 6 Colorful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0">
    <w:name w:val="List Table 6 Colorful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1">
    <w:name w:val="List Table 6 Colorful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2">
    <w:name w:val="List Table 6 Colorful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3">
    <w:name w:val="List Table 6 Colorful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4">
    <w:name w:val="List Table 6 Colorful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5">
    <w:name w:val="List Table 6 Colorful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6">
    <w:name w:val="List Table 7 Colorful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77">
    <w:name w:val="List Table 7 Colorful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78">
    <w:name w:val="List Table 7 Colorful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79">
    <w:name w:val="List Table 7 Colorful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80">
    <w:name w:val="List Table 7 Colorful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81">
    <w:name w:val="List Table 7 Colorful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82">
    <w:name w:val="List Table 7 Colorful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83">
    <w:name w:val="Lined - Accent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Lined - Accent 1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5">
    <w:name w:val="Lined - Accent 2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6">
    <w:name w:val="Lined - Accent 3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7">
    <w:name w:val="Lined - Accent 4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8">
    <w:name w:val="Lined - Accent 5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9">
    <w:name w:val="Lined - Accent 6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0">
    <w:name w:val="Bordered &amp; Lined - Accent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Bordered &amp; Lined - Accent 1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92">
    <w:name w:val="Bordered &amp; Lined - Accent 2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93">
    <w:name w:val="Bordered &amp; Lined - Accent 3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94">
    <w:name w:val="Bordered &amp; Lined - Accent 4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95">
    <w:name w:val="Bordered &amp; Lined - Accent 5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96">
    <w:name w:val="Bordered &amp; Lined - Accent 6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7">
    <w:name w:val="Bordered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8">
    <w:name w:val="Bordered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9">
    <w:name w:val="Bordered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0">
    <w:name w:val="Bordered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1">
    <w:name w:val="Bordered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2">
    <w:name w:val="Bordered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3">
    <w:name w:val="Bordered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04">
    <w:name w:val="Hyperlink"/>
    <w:uiPriority w:val="99"/>
    <w:unhideWhenUsed/>
    <w:rPr>
      <w:color w:val="0000ff" w:themeColor="hyperlink"/>
      <w:u w:val="single"/>
    </w:rPr>
  </w:style>
  <w:style w:type="paragraph" w:styleId="905">
    <w:name w:val="footnote text"/>
    <w:basedOn w:val="922"/>
    <w:link w:val="906"/>
    <w:uiPriority w:val="99"/>
    <w:semiHidden/>
    <w:unhideWhenUsed/>
    <w:pPr>
      <w:spacing w:after="40" w:line="240" w:lineRule="auto"/>
    </w:pPr>
    <w:rPr>
      <w:sz w:val="18"/>
    </w:rPr>
  </w:style>
  <w:style w:type="character" w:styleId="906">
    <w:name w:val="Footnote Text Char"/>
    <w:link w:val="905"/>
    <w:uiPriority w:val="99"/>
    <w:rPr>
      <w:sz w:val="18"/>
    </w:rPr>
  </w:style>
  <w:style w:type="character" w:styleId="907">
    <w:name w:val="footnote reference"/>
    <w:uiPriority w:val="99"/>
    <w:unhideWhenUsed/>
    <w:rPr>
      <w:vertAlign w:val="superscript"/>
    </w:rPr>
  </w:style>
  <w:style w:type="paragraph" w:styleId="908">
    <w:name w:val="endnote text"/>
    <w:basedOn w:val="922"/>
    <w:link w:val="909"/>
    <w:uiPriority w:val="99"/>
    <w:semiHidden/>
    <w:unhideWhenUsed/>
    <w:pPr>
      <w:spacing w:after="0" w:line="240" w:lineRule="auto"/>
    </w:pPr>
    <w:rPr>
      <w:sz w:val="20"/>
    </w:rPr>
  </w:style>
  <w:style w:type="character" w:styleId="909">
    <w:name w:val="Endnote Text Char"/>
    <w:link w:val="908"/>
    <w:uiPriority w:val="99"/>
    <w:rPr>
      <w:sz w:val="20"/>
    </w:rPr>
  </w:style>
  <w:style w:type="character" w:styleId="910">
    <w:name w:val="endnote reference"/>
    <w:uiPriority w:val="99"/>
    <w:semiHidden/>
    <w:unhideWhenUsed/>
    <w:rPr>
      <w:vertAlign w:val="superscript"/>
    </w:rPr>
  </w:style>
  <w:style w:type="paragraph" w:styleId="911">
    <w:name w:val="toc 1"/>
    <w:basedOn w:val="922"/>
    <w:next w:val="922"/>
    <w:uiPriority w:val="39"/>
    <w:unhideWhenUsed/>
    <w:pPr>
      <w:ind w:left="0" w:right="0" w:firstLine="0"/>
      <w:spacing w:after="57"/>
    </w:pPr>
  </w:style>
  <w:style w:type="paragraph" w:styleId="912">
    <w:name w:val="toc 2"/>
    <w:basedOn w:val="922"/>
    <w:next w:val="922"/>
    <w:uiPriority w:val="39"/>
    <w:unhideWhenUsed/>
    <w:pPr>
      <w:ind w:left="283" w:right="0" w:firstLine="0"/>
      <w:spacing w:after="57"/>
    </w:pPr>
  </w:style>
  <w:style w:type="paragraph" w:styleId="913">
    <w:name w:val="toc 3"/>
    <w:basedOn w:val="922"/>
    <w:next w:val="922"/>
    <w:uiPriority w:val="39"/>
    <w:unhideWhenUsed/>
    <w:pPr>
      <w:ind w:left="567" w:right="0" w:firstLine="0"/>
      <w:spacing w:after="57"/>
    </w:pPr>
  </w:style>
  <w:style w:type="paragraph" w:styleId="914">
    <w:name w:val="toc 4"/>
    <w:basedOn w:val="922"/>
    <w:next w:val="922"/>
    <w:uiPriority w:val="39"/>
    <w:unhideWhenUsed/>
    <w:pPr>
      <w:ind w:left="850" w:right="0" w:firstLine="0"/>
      <w:spacing w:after="57"/>
    </w:pPr>
  </w:style>
  <w:style w:type="paragraph" w:styleId="915">
    <w:name w:val="toc 5"/>
    <w:basedOn w:val="922"/>
    <w:next w:val="922"/>
    <w:uiPriority w:val="39"/>
    <w:unhideWhenUsed/>
    <w:pPr>
      <w:ind w:left="1134" w:right="0" w:firstLine="0"/>
      <w:spacing w:after="57"/>
    </w:pPr>
  </w:style>
  <w:style w:type="paragraph" w:styleId="916">
    <w:name w:val="toc 6"/>
    <w:basedOn w:val="922"/>
    <w:next w:val="922"/>
    <w:uiPriority w:val="39"/>
    <w:unhideWhenUsed/>
    <w:pPr>
      <w:ind w:left="1417" w:right="0" w:firstLine="0"/>
      <w:spacing w:after="57"/>
    </w:pPr>
  </w:style>
  <w:style w:type="paragraph" w:styleId="917">
    <w:name w:val="toc 7"/>
    <w:basedOn w:val="922"/>
    <w:next w:val="922"/>
    <w:uiPriority w:val="39"/>
    <w:unhideWhenUsed/>
    <w:pPr>
      <w:ind w:left="1701" w:right="0" w:firstLine="0"/>
      <w:spacing w:after="57"/>
    </w:pPr>
  </w:style>
  <w:style w:type="paragraph" w:styleId="918">
    <w:name w:val="toc 8"/>
    <w:basedOn w:val="922"/>
    <w:next w:val="922"/>
    <w:uiPriority w:val="39"/>
    <w:unhideWhenUsed/>
    <w:pPr>
      <w:ind w:left="1984" w:right="0" w:firstLine="0"/>
      <w:spacing w:after="57"/>
    </w:pPr>
  </w:style>
  <w:style w:type="paragraph" w:styleId="919">
    <w:name w:val="toc 9"/>
    <w:basedOn w:val="922"/>
    <w:next w:val="922"/>
    <w:uiPriority w:val="39"/>
    <w:unhideWhenUsed/>
    <w:pPr>
      <w:ind w:left="2268" w:right="0" w:firstLine="0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922"/>
    <w:next w:val="922"/>
    <w:uiPriority w:val="99"/>
    <w:unhideWhenUsed/>
    <w:pPr>
      <w:spacing w:after="0" w:afterAutospacing="0"/>
    </w:pPr>
  </w:style>
  <w:style w:type="paragraph" w:styleId="922" w:default="1">
    <w:name w:val="Normal"/>
    <w:qFormat/>
  </w:style>
  <w:style w:type="table" w:styleId="9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4" w:default="1">
    <w:name w:val="No List"/>
    <w:uiPriority w:val="99"/>
    <w:semiHidden/>
    <w:unhideWhenUsed/>
  </w:style>
  <w:style w:type="paragraph" w:styleId="925">
    <w:name w:val="No Spacing"/>
    <w:basedOn w:val="922"/>
    <w:uiPriority w:val="1"/>
    <w:qFormat/>
    <w:pPr>
      <w:spacing w:after="0" w:line="240" w:lineRule="auto"/>
    </w:pPr>
  </w:style>
  <w:style w:type="paragraph" w:styleId="926">
    <w:name w:val="List Paragraph"/>
    <w:basedOn w:val="922"/>
    <w:uiPriority w:val="34"/>
    <w:qFormat/>
    <w:pPr>
      <w:contextualSpacing/>
      <w:ind w:left="720"/>
    </w:pPr>
  </w:style>
  <w:style w:type="character" w:styleId="9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hyperlink" Target="https://regulation.gov.ru/projects/167196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vorogushina</cp:lastModifiedBy>
  <cp:revision>11</cp:revision>
  <dcterms:modified xsi:type="dcterms:W3CDTF">2026-04-27T10:50:55Z</dcterms:modified>
</cp:coreProperties>
</file>