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120" w:line="240" w:lineRule="auto"/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color w:val="000000" w:themeColor="text1"/>
          <w:sz w:val="24"/>
          <w:szCs w:val="24"/>
          <w:highlight w:val="none"/>
        </w:rPr>
        <w:t xml:space="preserve">МОНИТОРИНГ на 04.05.2026</w:t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</w:p>
    <w:tbl>
      <w:tblPr>
        <w:tblStyle w:val="786"/>
        <w:tblW w:w="1006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4825"/>
        <w:gridCol w:w="5239"/>
      </w:tblGrid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Постановление Правительства Российской Федерации от 27.04.2026 № 475 «О внесении изменений в постановление Правительства Российской Федерации от 29 декабря 2021 г. № 2571»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ind w:left="567" w:right="0" w:firstLine="0"/>
              <w:jc w:val="both"/>
              <w:shd w:val="nil" w:color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:shd w:val="clear" w:color="auto" w:fill="ffffff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</w:rPr>
              <w:t xml:space="preserve">Правительством РФ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white"/>
              </w:rPr>
              <w:t xml:space="preserve">для закупок по подготовке проектной документации и выполнению инженерных изысканий на особо опасных, технически сложных и уникальных объектах введено отдельное квалификационное требование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:shd w:val="clear" w:color="auto" w:fill="ffffff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pStyle w:val="934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Постановление Правительства Российской Федерации от 27.04.2026 № 476 «О федеральном органе исполнительной власти, уполномоченном на установление порядка определения начальной (ма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ксимальной)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технических средств реабилитации и услуг, предоставляемых инвалиду, а также также тех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нических средств реабилитации, работ по изготовлению протезов, протезно-ортопедических изделий, ортезов и услуг по их ремонту, предоставляемых лицам, получившим повреждение здоровья вследствие несчастных случаев на производстве и профессиональных заболеван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ий, из числа технических средств реабилитации, не являющихся медицинскими изделиями или являющихся медицинскими изделиями, изготавливаемыми по индивидуальным заказам пациентов исключительно для личного пользования и к которым предъявляются специальные треб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ования в соответствии с назначением, выданным медицинским работником, и не подлежащими регистрации на территории Российской Федерации в соответствии с пунктом 1 части 5 статьи 38 Федерального закона «Об основах охраны здоровья граждан Российской Федерации»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contextualSpacing w:val="0"/>
              <w:ind w:left="567" w:right="0" w:firstLine="0"/>
              <w:jc w:val="both"/>
              <w:shd w:val="nil" w:color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yellow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white"/>
              </w:rPr>
              <w:t xml:space="preserve">Правительство РФ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white"/>
              </w:rPr>
              <w:t xml:space="preserve">утвердило орган, который будет устанавливать порядок определения начальной (максимальной) цены контракта, цены контракта с единственным поставщиком и цены единицы товара, работы, услуги при закупках технических средств реабилитации и сопутствующих услуг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yellow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yellow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30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Судебная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практика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tcW w:w="4825" w:type="dxa"/>
            <w:vMerge w:val="restart"/>
            <w:textDirection w:val="lrTb"/>
            <w:noWrap w:val="false"/>
          </w:tcPr>
          <w:p>
            <w:pPr>
              <w:jc w:val="both"/>
              <w:shd w:val="nil" w:color="auto"/>
              <w:rPr>
                <w:rFonts w:ascii="PT Astra Serif" w:hAnsi="PT Astra Serif" w:cs="PT Astra Serif"/>
                <w:bCs/>
                <w:i/>
                <w:sz w:val="26"/>
                <w:szCs w:val="26"/>
                <w:highlight w:val="whit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остановление Арбитражного суда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Омской области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 от 09.04.2026 по делу № А46-1252/2026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Cs/>
                <w:i/>
                <w:sz w:val="26"/>
                <w:szCs w:val="26"/>
                <w:highlight w:val="white"/>
                <w14:ligatures w14:val="none"/>
              </w:rPr>
            </w:r>
          </w:p>
        </w:tc>
        <w:tc>
          <w:tcPr>
            <w:tcW w:w="5239" w:type="dxa"/>
            <w:vMerge w:val="restart"/>
            <w:textDirection w:val="lrTb"/>
            <w:noWrap w:val="false"/>
          </w:tcPr>
          <w:p>
            <w:pPr>
              <w:jc w:val="both"/>
              <w:shd w:val="nil" w:color="auto"/>
              <w:rPr>
                <w:rFonts w:ascii="PT Astra Serif" w:hAnsi="PT Astra Serif" w:cs="PT Astra Serif"/>
                <w:sz w:val="26"/>
                <w:szCs w:val="26"/>
                <w:highlight w:val="whit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Суд подтвердил правомерность включения ИП в РНП за поставку иностранного товара при ограничении в извещении на допуск товаров иностранного происхождения и последующем одностороннем отказе ИП от исполнения контракта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tcW w:w="4825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spacing w:after="0" w:line="288" w:lineRule="atLeast"/>
              <w:rPr>
                <w:rFonts w:ascii="PT Astra Serif" w:hAnsi="PT Astra Serif" w:cs="PT Astra Serif"/>
                <w:bCs/>
                <w:i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i/>
                <w:sz w:val="26"/>
                <w:szCs w:val="26"/>
                <w:lang w:eastAsia="ru-RU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i/>
                <w:sz w:val="26"/>
                <w:szCs w:val="26"/>
                <w:lang w:eastAsia="ru-RU"/>
              </w:rPr>
              <w:t xml:space="preserve">остановление Семнадцатого Арбитражного апелляционного суда Пермского края</w:t>
            </w:r>
            <w:r>
              <w:rPr>
                <w:rFonts w:ascii="PT Astra Serif" w:hAnsi="PT Astra Serif" w:eastAsia="PT Astra Serif" w:cs="PT Astra Serif"/>
                <w:i/>
                <w:sz w:val="26"/>
                <w:szCs w:val="26"/>
                <w:lang w:eastAsia="ru-RU"/>
              </w:rPr>
              <w:t xml:space="preserve"> от 15.04.2026 по делу </w:t>
              <w:br/>
              <w:t xml:space="preserve">№ А50-26362/2025</w:t>
            </w:r>
            <w:r>
              <w:rPr>
                <w:rFonts w:ascii="PT Astra Serif" w:hAnsi="PT Astra Serif" w:cs="PT Astra Serif"/>
                <w:bCs/>
                <w:i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sz w:val="26"/>
                <w:szCs w:val="26"/>
                <w:highlight w:val="none"/>
              </w:rPr>
            </w:r>
          </w:p>
        </w:tc>
        <w:tc>
          <w:tcPr>
            <w:tcW w:w="5239" w:type="dxa"/>
            <w:vMerge w:val="restart"/>
            <w:textDirection w:val="lrTb"/>
            <w:noWrap w:val="false"/>
          </w:tcPr>
          <w:p>
            <w:pPr>
              <w:jc w:val="both"/>
              <w:shd w:val="nil" w:color="auto"/>
              <w:rPr>
                <w:rFonts w:ascii="PT Astra Serif" w:hAnsi="PT Astra Serif" w:cs="PT Astra Serif"/>
                <w:sz w:val="26"/>
                <w:szCs w:val="26"/>
                <w:highlight w:val="whit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Суды отказали ИП о взыскании убытков с Заказчика, так как не было доказано, что расходы на оказание юридических услуг по предоставлению интересов ИП в УФАС связаны с неправомерными действиями Заказчика,  противоправность действий Учреждения не доказана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  <w14:ligatures w14:val="none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 w:val="0"/>
          <w:bCs/>
          <w:i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  <w:t xml:space="preserve">Постановление Правительства Российской Федерации от 27.04.2026 № 475 «О внесении изменений в постановление Правительства Российской Федерации от 29 декабря 2021 г. № 2571»</w:t>
      </w: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rFonts w:ascii="PT Astra Serif" w:hAnsi="PT Astra Serif" w:eastAsia="PT Astra Serif" w:cs="PT Astra Serif"/>
          <w:b w:val="0"/>
          <w:bCs/>
          <w:i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shd w:val="clear" w:color="auto" w:fill="ffffff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Правительством РФ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для закупок по подготовке проектной документации и выполнению инженерных изысканий на особо опасных, технически сложных и уникальных объектах введено отдельное квалификационное требование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shd w:val="clear" w:color="auto" w:fill="ffffff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shd w:val="clear" w:color="auto" w:fill="ffffff"/>
          <w14:ligatures w14:val="none"/>
        </w:rPr>
      </w:r>
    </w:p>
    <w:p>
      <w:pPr>
        <w:contextualSpacing w:val="0"/>
        <w:ind w:left="0"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частн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ику закупки теперь необходимо подтверждать наличие опыта исполнения аналогичного договора, при этом стоимость выполненных работ по нему должна составлять не менее 20% НМЦК. Перечень подтверждающих документов закреплен: исполненный контракт, акты выполненны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х работ и положительное заключение экспертизы проектной документации или результатов инженерных изысканий.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 w:val="0"/>
          <w:bCs/>
          <w:i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rFonts w:ascii="PT Astra Serif" w:hAnsi="PT Astra Serif" w:eastAsia="PT Astra Serif" w:cs="PT Astra Serif"/>
          <w:b w:val="0"/>
          <w:bCs/>
          <w:i/>
          <w:color w:val="000000" w:themeColor="text1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 w:val="0"/>
          <w:bCs/>
          <w:i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  <w:t xml:space="preserve">Постановление Правительства Российской Федерации от 27.04.2026 № 476 «О федеральном органе исполнительной власти, уполномоченном на установление порядка определения начальной (ма</w:t>
      </w: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  <w:t xml:space="preserve">ксимальной)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технических средств реабилитации и услуг, предоставляемых инвалиду, а также также тех</w:t>
      </w: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  <w:t xml:space="preserve">нических средств реабилитации, работ по изготовлению протезов, протезно-ортопедических изделий, ортезов и услуг по их ремонту, предоставляемых лицам, получившим повреждение здоровья вследствие несчастных случаев на производстве и профессиональных заболеван</w:t>
      </w: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  <w:t xml:space="preserve">ий, из числа технических средств реабилитации, не являющихся медицинскими изделиями или являющихся медицинскими изделиями, изготавливаемыми по индивидуальным заказам пациентов исключительно для личного пользования и к которым предъявляются специальные треб</w:t>
      </w:r>
      <w:r>
        <w:rPr>
          <w:rFonts w:ascii="PT Astra Serif" w:hAnsi="PT Astra Serif" w:eastAsia="PT Astra Serif" w:cs="PT Astra Serif"/>
          <w:b w:val="0"/>
          <w:bCs w:val="0"/>
          <w:i/>
          <w:iCs/>
          <w:color w:val="000000" w:themeColor="text1"/>
          <w:sz w:val="26"/>
          <w:szCs w:val="26"/>
          <w:highlight w:val="none"/>
          <w:shd w:val="clear" w:color="auto" w:fill="ffffff"/>
        </w:rPr>
        <w:t xml:space="preserve">ования в соответствии с назначением, выданным медицинским работником, и не подлежащими регистрации на территории Российской Федерации в соответствии с пунктом 1 части 5 статьи 38 Федерального закона «Об основах охраны здоровья граждан Российской Федерации»</w:t>
      </w:r>
      <w:r>
        <w:rPr>
          <w:color w:val="000000" w:themeColor="text1"/>
        </w:rPr>
      </w:r>
      <w:r>
        <w:rPr>
          <w:rFonts w:ascii="PT Astra Serif" w:hAnsi="PT Astra Serif" w:eastAsia="PT Astra Serif" w:cs="PT Astra Serif"/>
          <w:b w:val="0"/>
          <w:bCs/>
          <w:i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:highlight w:val="whit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Правительство РФ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утвердило орган, который будет устанавливать порядок определения начальной (максимальной) цены контракта, цены контракта с единственным поставщиком и цены единицы товара, работы, услуги при закупках технических средств реабилитации и сопутствующих услуг.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Полномочия по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определению начальной (максимальной) цены контракта, цены контракта с единственным поставщиком и цены единицы товара, работы, услуги при закупках технических средств реабилитации и сопутствующих услуг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переданы Министерству труда и социальной защиты Российской Федерации. При этом порядок будет утверждаться по согласованию с Минфином, Минздравом, Минпромторгом и ФАС России.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Уточнено, что регулирование распространяется не только на медицинские изделия, но и на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технические средства реабилитации,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услуги, предоставляемые инвалидам,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протезы, ортезы, протезно-ортопедические изделия и их ремонт,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изделия, изготавливаемые по индивидуальным заказам пациентов и не подлежащие государственной регистрации.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Постановлением также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скорректированы наименование и предмет регулирования с учетом новых категорий закупок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в постановлении Правительства РФ от 02.07.2019 № 847.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Минтруду поручено в течение 3 месяцев утвердить соответствующий порядок определения цен для указанных закупок.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0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i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остановление Арбитражного суда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Омской области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 от 09.04.2026 по делу № А46-1252/2026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</w:r>
      <w:r>
        <w:rPr>
          <w:rFonts w:ascii="PT Astra Serif" w:hAnsi="PT Astra Serif" w:cs="PT Astra Serif"/>
          <w:i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Заявитель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: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ИП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Учреждением размещено извещение о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проведении  электронного аукциона,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с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пецификацией предусмотрена поставка товара по 2 позиция (насос, мембранно-поршневой, насос мембранный).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Установлено ограничение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на допуск товаров, происходящих из иностранных государств по Постановлению № 1875 .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Согласно протоколу подведения итогов определения поставщика победителем закупки признан ИП, предложивший российский товар, заключен контракт.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ИП  поставил товар  иностранного происхождения.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В связи с тем что Заказчик не принял дважды товар, не соответствующий условиям контракта о стране происхождения, ИП  разместил решение об одностороннем отказе от исполнения контракта.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Учреждение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направило в УФАС уведомление, антимонопольный орган принял решение о включении ИП в РНП.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 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eastAsia="PT Astra Serif" w:cs="PT Astra Serif"/>
          <w:sz w:val="26"/>
          <w:szCs w:val="26"/>
          <w:lang w:eastAsia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ИП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, не согласившись с решением УФАС, обратился с заявлением в Арбитр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ажный суд. 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Суд, отказывая в удовлетворении требований ИП, исходил из следующего.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соответствии с пунктом 2 части 4 статьи 14 Закона № 44-ФЗ, если при закупке товара  установлено ограничение, предусмотренное подпунктом «б» пункта 1 части 2 настоящей статьи, то,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все заявки, содержащие предложения о поставке такого товара иностранного происхождения, подлежат отклонению,  при условии, что на участие в закупке подана и признана соответствующей требованиям извещения  зая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вка на поставку товара российского происхождения и 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ри исполнении контракта не допускается замена товара российского происхождения на иностранный, если контракт изначально предусматривает поставку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товара российского происхождения.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4"/>
          <w:szCs w:val="24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Довод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ИП о том, что Учреждение,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включив в извещение о закупке уведомление об отсутствии товара в реестре российской промышленной продукции (далее – реестр), установило заведомо 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еисполнимое условие о поставке российского товара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суд считает необоснованным.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Порядок формирования реестра утвержден Постановлением № 719. Согласно правилам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внесение сведений о продукции в реестр осуществляется только по заявлению.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Следовательно, отсутствие продукции российского происхождения в данном реестре не означа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ет, что она не производится или не продается на территории РФ.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Отсутствует подтверждение невозможности исполнения конт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ракта в соответствии с его условиями. ИП как на стадии участия в аукционе заявил о возможности поставки товара российского происхождения без намерения осуществить такую поставку, так и на стадии исполнения контракта, поставив товар иностранного происхождения.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Также суд  поддержал позицию УФАС, что отказ ИП от исполнения контракта в связи с непринятием Учреждения поставленного товара не имеет оснований ни в положениях ГК РФ, ни в нормах Закона № 44-ФЗ.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Кроме того, суд указал на недостоверность сведений, представленных ИП на этапе заявки,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отсутствие попыток исправить ситуацию.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Указанное свидетельствует  о недобросовестном повед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ении ИП при исполнении  контракта.</w:t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остановление Семнадцатого Арбитражного апелляционного суда Пермского края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 от 15.04.2026 по делу № А50-26362/2025</w:t>
      </w:r>
      <w:r>
        <w:rPr>
          <w:rFonts w:ascii="PT Astra Serif" w:hAnsi="PT Astra Serif" w:cs="PT Astra Serif"/>
          <w:i/>
          <w:iCs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Заявитель: ИП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Между Учреждением и ИП заключен  договор по ремонту концертного зала.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Учреждением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принято решение об одностороннем отказе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от исполнения договора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связи с неисполнением ИП  условий договора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уведомление направлено в Пермский УФАС для включения сведений об ИП в РНП.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Для представления интересов в Пермском УФАС, ИП заключил договор на оказание юридических услуг.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Пермским УФАС принято решение о невключении  сведений об ИП в РНП (факт необоснованного  отказа Заказчика от контракта не установлен).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ИП, считая оплату юриста убытками, возникшими вследствие неправомерных действий Учреждения, обратился в  суд.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Суды первой и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апелляционной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инстанции, отказывая в удовлетворении требований, исходили из следующего.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Материалами дела не подтверждено, что понесенные ИП расходы на оплату юридических услуг, связанные с рассмотрением в Пермском УФАС, находятся в причинно-следственной связи с каким либо неправомерным поведением Учреждения.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Заключение ИП договора об оказании юридических услуг и оплата данных услуг при недоказанности наличия в действиях Учреждения противоправного поведения не могут являться основанием для удовлетворения требований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ИП.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Учитывая изложенное, ИП не доказана совокупность обстоятельств, необходимых для взыскания  убытков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 Учреждения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0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Roboto">
    <w:panose1 w:val="02000000000000000000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jc w:val="center"/>
      <w:rPr>
        <w:rFonts w:ascii="PT Astra Serif" w:hAnsi="PT Astra Serif" w:cs="PT Astra Serif"/>
      </w:rPr>
    </w:pPr>
    <w:fldSimple w:instr="PAGE \* MERGEFORMAT">
      <w:r>
        <w:rPr>
          <w:rFonts w:ascii="PT Astra Serif" w:hAnsi="PT Astra Serif" w:eastAsia="PT Astra Serif" w:cs="PT Astra Serif"/>
        </w:rPr>
        <w:t xml:space="preserve">1</w:t>
      </w:r>
    </w:fldSimple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78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32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4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6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8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0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2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4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6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82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Roboto" w:hAnsi="Roboto" w:eastAsia="Roboto" w:cs="Roboto"/>
        <w:color w:val="1c1c21"/>
        <w:spacing w:val="1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4">
    <w:name w:val="Heading 1"/>
    <w:basedOn w:val="930"/>
    <w:next w:val="930"/>
    <w:link w:val="75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55">
    <w:name w:val="Heading 1 Char"/>
    <w:link w:val="75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56">
    <w:name w:val="Heading 2"/>
    <w:basedOn w:val="930"/>
    <w:next w:val="930"/>
    <w:link w:val="75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7">
    <w:name w:val="Heading 2 Char"/>
    <w:link w:val="756"/>
    <w:uiPriority w:val="9"/>
    <w:rPr>
      <w:rFonts w:ascii="Liberation Sans" w:hAnsi="Liberation Sans" w:eastAsia="Liberation Sans" w:cs="Liberation Sans"/>
      <w:sz w:val="34"/>
    </w:rPr>
  </w:style>
  <w:style w:type="paragraph" w:styleId="758">
    <w:name w:val="Heading 3"/>
    <w:basedOn w:val="930"/>
    <w:next w:val="930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9">
    <w:name w:val="Heading 3 Char"/>
    <w:link w:val="75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60">
    <w:name w:val="Heading 4"/>
    <w:basedOn w:val="930"/>
    <w:next w:val="930"/>
    <w:link w:val="7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1">
    <w:name w:val="Heading 4 Char"/>
    <w:link w:val="7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2">
    <w:name w:val="Heading 5"/>
    <w:basedOn w:val="930"/>
    <w:next w:val="930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3">
    <w:name w:val="Heading 5 Char"/>
    <w:link w:val="76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4">
    <w:name w:val="Heading 6"/>
    <w:basedOn w:val="930"/>
    <w:next w:val="930"/>
    <w:link w:val="7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5">
    <w:name w:val="Heading 6 Char"/>
    <w:link w:val="76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6">
    <w:name w:val="Heading 7"/>
    <w:basedOn w:val="930"/>
    <w:next w:val="930"/>
    <w:link w:val="7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7">
    <w:name w:val="Heading 7 Char"/>
    <w:link w:val="7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8">
    <w:name w:val="Heading 8"/>
    <w:basedOn w:val="930"/>
    <w:next w:val="930"/>
    <w:link w:val="7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9">
    <w:name w:val="Heading 8 Char"/>
    <w:link w:val="7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0">
    <w:name w:val="Heading 9"/>
    <w:basedOn w:val="930"/>
    <w:next w:val="930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1">
    <w:name w:val="Heading 9 Char"/>
    <w:link w:val="77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2">
    <w:name w:val="Title"/>
    <w:basedOn w:val="930"/>
    <w:next w:val="930"/>
    <w:link w:val="7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3">
    <w:name w:val="Title Char"/>
    <w:link w:val="772"/>
    <w:uiPriority w:val="10"/>
    <w:rPr>
      <w:sz w:val="48"/>
      <w:szCs w:val="48"/>
    </w:rPr>
  </w:style>
  <w:style w:type="paragraph" w:styleId="774">
    <w:name w:val="Subtitle"/>
    <w:basedOn w:val="930"/>
    <w:next w:val="930"/>
    <w:link w:val="775"/>
    <w:uiPriority w:val="11"/>
    <w:qFormat/>
    <w:pPr>
      <w:spacing w:before="200" w:after="200"/>
    </w:pPr>
    <w:rPr>
      <w:sz w:val="24"/>
      <w:szCs w:val="24"/>
    </w:rPr>
  </w:style>
  <w:style w:type="character" w:styleId="775">
    <w:name w:val="Subtitle Char"/>
    <w:link w:val="774"/>
    <w:uiPriority w:val="11"/>
    <w:rPr>
      <w:sz w:val="24"/>
      <w:szCs w:val="24"/>
    </w:rPr>
  </w:style>
  <w:style w:type="paragraph" w:styleId="776">
    <w:name w:val="Quote"/>
    <w:basedOn w:val="930"/>
    <w:next w:val="930"/>
    <w:link w:val="777"/>
    <w:uiPriority w:val="29"/>
    <w:qFormat/>
    <w:pPr>
      <w:ind w:left="720" w:right="720"/>
    </w:pPr>
    <w:rPr>
      <w:i/>
    </w:rPr>
  </w:style>
  <w:style w:type="character" w:styleId="777">
    <w:name w:val="Quote Char"/>
    <w:link w:val="776"/>
    <w:uiPriority w:val="29"/>
    <w:rPr>
      <w:i/>
    </w:rPr>
  </w:style>
  <w:style w:type="paragraph" w:styleId="778">
    <w:name w:val="Intense Quote"/>
    <w:basedOn w:val="930"/>
    <w:next w:val="930"/>
    <w:link w:val="7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>
    <w:name w:val="Intense Quote Char"/>
    <w:link w:val="778"/>
    <w:uiPriority w:val="30"/>
    <w:rPr>
      <w:i/>
    </w:rPr>
  </w:style>
  <w:style w:type="paragraph" w:styleId="780">
    <w:name w:val="Header"/>
    <w:basedOn w:val="930"/>
    <w:link w:val="7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1">
    <w:name w:val="Header Char"/>
    <w:link w:val="780"/>
    <w:uiPriority w:val="99"/>
  </w:style>
  <w:style w:type="paragraph" w:styleId="782">
    <w:name w:val="Footer"/>
    <w:basedOn w:val="930"/>
    <w:link w:val="7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3">
    <w:name w:val="Footer Char"/>
    <w:link w:val="782"/>
    <w:uiPriority w:val="99"/>
  </w:style>
  <w:style w:type="paragraph" w:styleId="784">
    <w:name w:val="Caption"/>
    <w:basedOn w:val="930"/>
    <w:next w:val="930"/>
    <w:link w:val="7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5">
    <w:name w:val="Caption Char"/>
    <w:link w:val="784"/>
    <w:uiPriority w:val="35"/>
    <w:rPr>
      <w:b/>
      <w:bCs/>
      <w:color w:val="4f81bd" w:themeColor="accent1"/>
      <w:sz w:val="18"/>
      <w:szCs w:val="18"/>
    </w:rPr>
  </w:style>
  <w:style w:type="table" w:styleId="786">
    <w:name w:val="Table Grid"/>
    <w:basedOn w:val="9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Table Grid Light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>
    <w:name w:val="Plain Table 1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9">
    <w:name w:val="Plain Table 2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0">
    <w:name w:val="Plain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>
    <w:name w:val="Plain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Plain Table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3">
    <w:name w:val="Grid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5">
    <w:name w:val="Grid Table 4 - Accent 1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6">
    <w:name w:val="Grid Table 4 - Accent 2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7">
    <w:name w:val="Grid Table 4 - Accent 3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8">
    <w:name w:val="Grid Table 4 - Accent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9">
    <w:name w:val="Grid Table 4 - Accent 5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0">
    <w:name w:val="Grid Table 4 - Accent 6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1">
    <w:name w:val="Grid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25">
    <w:name w:val="Grid Table 5 Dark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28">
    <w:name w:val="Grid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9">
    <w:name w:val="Grid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30">
    <w:name w:val="Grid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1">
    <w:name w:val="Grid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2">
    <w:name w:val="Grid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3">
    <w:name w:val="Grid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4">
    <w:name w:val="Grid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5">
    <w:name w:val="Grid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0">
    <w:name w:val="List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1">
    <w:name w:val="List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2">
    <w:name w:val="List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3">
    <w:name w:val="List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4">
    <w:name w:val="List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5">
    <w:name w:val="List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6">
    <w:name w:val="List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5 Dark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5 Dark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5">
    <w:name w:val="List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6">
    <w:name w:val="List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7">
    <w:name w:val="List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8">
    <w:name w:val="List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9">
    <w:name w:val="List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0">
    <w:name w:val="List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1">
    <w:name w:val="List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2">
    <w:name w:val="List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3">
    <w:name w:val="List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4">
    <w:name w:val="List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5">
    <w:name w:val="List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86">
    <w:name w:val="List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87">
    <w:name w:val="List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88">
    <w:name w:val="List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89">
    <w:name w:val="List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90">
    <w:name w:val="List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91">
    <w:name w:val="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2">
    <w:name w:val="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3">
    <w:name w:val="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4">
    <w:name w:val="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5">
    <w:name w:val="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6">
    <w:name w:val="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7">
    <w:name w:val="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8">
    <w:name w:val="Bordered &amp; 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Bordered &amp; 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0">
    <w:name w:val="Bordered &amp; 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1">
    <w:name w:val="Bordered &amp; 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2">
    <w:name w:val="Bordered &amp; 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3">
    <w:name w:val="Bordered &amp; 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4">
    <w:name w:val="Bordered &amp; 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5">
    <w:name w:val="Bordered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6">
    <w:name w:val="Bordered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7">
    <w:name w:val="Bordered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8">
    <w:name w:val="Bordered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9">
    <w:name w:val="Bordered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0">
    <w:name w:val="Bordered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1">
    <w:name w:val="Bordered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2">
    <w:name w:val="Hyperlink"/>
    <w:uiPriority w:val="99"/>
    <w:unhideWhenUsed/>
    <w:rPr>
      <w:color w:val="0000ff" w:themeColor="hyperlink"/>
      <w:u w:val="single"/>
    </w:rPr>
  </w:style>
  <w:style w:type="paragraph" w:styleId="913">
    <w:name w:val="footnote text"/>
    <w:basedOn w:val="930"/>
    <w:link w:val="914"/>
    <w:uiPriority w:val="99"/>
    <w:semiHidden/>
    <w:unhideWhenUsed/>
    <w:pPr>
      <w:spacing w:after="40" w:line="240" w:lineRule="auto"/>
    </w:pPr>
    <w:rPr>
      <w:sz w:val="18"/>
    </w:rPr>
  </w:style>
  <w:style w:type="character" w:styleId="914">
    <w:name w:val="Footnote Text Char"/>
    <w:link w:val="913"/>
    <w:uiPriority w:val="99"/>
    <w:rPr>
      <w:sz w:val="18"/>
    </w:rPr>
  </w:style>
  <w:style w:type="character" w:styleId="915">
    <w:name w:val="footnote reference"/>
    <w:uiPriority w:val="99"/>
    <w:unhideWhenUsed/>
    <w:rPr>
      <w:vertAlign w:val="superscript"/>
    </w:rPr>
  </w:style>
  <w:style w:type="paragraph" w:styleId="916">
    <w:name w:val="endnote text"/>
    <w:basedOn w:val="930"/>
    <w:link w:val="917"/>
    <w:uiPriority w:val="99"/>
    <w:semiHidden/>
    <w:unhideWhenUsed/>
    <w:pPr>
      <w:spacing w:after="0" w:line="240" w:lineRule="auto"/>
    </w:pPr>
    <w:rPr>
      <w:sz w:val="20"/>
    </w:rPr>
  </w:style>
  <w:style w:type="character" w:styleId="917">
    <w:name w:val="Endnote Text Char"/>
    <w:link w:val="916"/>
    <w:uiPriority w:val="99"/>
    <w:rPr>
      <w:sz w:val="20"/>
    </w:rPr>
  </w:style>
  <w:style w:type="character" w:styleId="918">
    <w:name w:val="endnote reference"/>
    <w:uiPriority w:val="99"/>
    <w:semiHidden/>
    <w:unhideWhenUsed/>
    <w:rPr>
      <w:vertAlign w:val="superscript"/>
    </w:rPr>
  </w:style>
  <w:style w:type="paragraph" w:styleId="919">
    <w:name w:val="toc 1"/>
    <w:basedOn w:val="930"/>
    <w:next w:val="930"/>
    <w:uiPriority w:val="39"/>
    <w:unhideWhenUsed/>
    <w:pPr>
      <w:ind w:left="0" w:right="0" w:firstLine="0"/>
      <w:spacing w:after="57"/>
    </w:pPr>
  </w:style>
  <w:style w:type="paragraph" w:styleId="920">
    <w:name w:val="toc 2"/>
    <w:basedOn w:val="930"/>
    <w:next w:val="930"/>
    <w:uiPriority w:val="39"/>
    <w:unhideWhenUsed/>
    <w:pPr>
      <w:ind w:left="283" w:right="0" w:firstLine="0"/>
      <w:spacing w:after="57"/>
    </w:pPr>
  </w:style>
  <w:style w:type="paragraph" w:styleId="921">
    <w:name w:val="toc 3"/>
    <w:basedOn w:val="930"/>
    <w:next w:val="930"/>
    <w:uiPriority w:val="39"/>
    <w:unhideWhenUsed/>
    <w:pPr>
      <w:ind w:left="567" w:right="0" w:firstLine="0"/>
      <w:spacing w:after="57"/>
    </w:pPr>
  </w:style>
  <w:style w:type="paragraph" w:styleId="922">
    <w:name w:val="toc 4"/>
    <w:basedOn w:val="930"/>
    <w:next w:val="930"/>
    <w:uiPriority w:val="39"/>
    <w:unhideWhenUsed/>
    <w:pPr>
      <w:ind w:left="850" w:right="0" w:firstLine="0"/>
      <w:spacing w:after="57"/>
    </w:pPr>
  </w:style>
  <w:style w:type="paragraph" w:styleId="923">
    <w:name w:val="toc 5"/>
    <w:basedOn w:val="930"/>
    <w:next w:val="930"/>
    <w:uiPriority w:val="39"/>
    <w:unhideWhenUsed/>
    <w:pPr>
      <w:ind w:left="1134" w:right="0" w:firstLine="0"/>
      <w:spacing w:after="57"/>
    </w:pPr>
  </w:style>
  <w:style w:type="paragraph" w:styleId="924">
    <w:name w:val="toc 6"/>
    <w:basedOn w:val="930"/>
    <w:next w:val="930"/>
    <w:uiPriority w:val="39"/>
    <w:unhideWhenUsed/>
    <w:pPr>
      <w:ind w:left="1417" w:right="0" w:firstLine="0"/>
      <w:spacing w:after="57"/>
    </w:pPr>
  </w:style>
  <w:style w:type="paragraph" w:styleId="925">
    <w:name w:val="toc 7"/>
    <w:basedOn w:val="930"/>
    <w:next w:val="930"/>
    <w:uiPriority w:val="39"/>
    <w:unhideWhenUsed/>
    <w:pPr>
      <w:ind w:left="1701" w:right="0" w:firstLine="0"/>
      <w:spacing w:after="57"/>
    </w:pPr>
  </w:style>
  <w:style w:type="paragraph" w:styleId="926">
    <w:name w:val="toc 8"/>
    <w:basedOn w:val="930"/>
    <w:next w:val="930"/>
    <w:uiPriority w:val="39"/>
    <w:unhideWhenUsed/>
    <w:pPr>
      <w:ind w:left="1984" w:right="0" w:firstLine="0"/>
      <w:spacing w:after="57"/>
    </w:pPr>
  </w:style>
  <w:style w:type="paragraph" w:styleId="927">
    <w:name w:val="toc 9"/>
    <w:basedOn w:val="930"/>
    <w:next w:val="930"/>
    <w:uiPriority w:val="39"/>
    <w:unhideWhenUsed/>
    <w:pPr>
      <w:ind w:left="2268" w:right="0" w:firstLine="0"/>
      <w:spacing w:after="57"/>
    </w:pPr>
  </w:style>
  <w:style w:type="paragraph" w:styleId="928">
    <w:name w:val="TOC Heading"/>
    <w:uiPriority w:val="39"/>
    <w:unhideWhenUsed/>
  </w:style>
  <w:style w:type="paragraph" w:styleId="929">
    <w:name w:val="table of figures"/>
    <w:basedOn w:val="930"/>
    <w:next w:val="930"/>
    <w:uiPriority w:val="99"/>
    <w:unhideWhenUsed/>
    <w:pPr>
      <w:spacing w:after="0" w:afterAutospacing="0"/>
    </w:pPr>
  </w:style>
  <w:style w:type="paragraph" w:styleId="930" w:default="1">
    <w:name w:val="Normal"/>
    <w:qFormat/>
  </w:style>
  <w:style w:type="table" w:styleId="9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2" w:default="1">
    <w:name w:val="No List"/>
    <w:uiPriority w:val="99"/>
    <w:semiHidden/>
    <w:unhideWhenUsed/>
  </w:style>
  <w:style w:type="paragraph" w:styleId="933">
    <w:name w:val="No Spacing"/>
    <w:basedOn w:val="930"/>
    <w:uiPriority w:val="1"/>
    <w:qFormat/>
    <w:pPr>
      <w:spacing w:after="0" w:line="240" w:lineRule="auto"/>
    </w:pPr>
  </w:style>
  <w:style w:type="paragraph" w:styleId="934">
    <w:name w:val="List Paragraph"/>
    <w:basedOn w:val="930"/>
    <w:uiPriority w:val="34"/>
    <w:qFormat/>
    <w:pPr>
      <w:contextualSpacing/>
      <w:ind w:left="720"/>
    </w:pPr>
  </w:style>
  <w:style w:type="character" w:styleId="9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loskutova</cp:lastModifiedBy>
  <cp:revision>13</cp:revision>
  <dcterms:modified xsi:type="dcterms:W3CDTF">2026-05-05T05:24:05Z</dcterms:modified>
</cp:coreProperties>
</file>