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color w:val="000000" w:themeColor="text1"/>
          <w:sz w:val="24"/>
          <w:szCs w:val="24"/>
          <w:highlight w:val="none"/>
        </w:rPr>
        <w:t xml:space="preserve">МОНИТОРИНГ на 12.05.2026</w:t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highlight w:val="none"/>
        </w:rPr>
      </w:r>
    </w:p>
    <w:tbl>
      <w:tblPr>
        <w:tblStyle w:val="780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4683"/>
        <w:gridCol w:w="5381"/>
      </w:tblGrid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  <w:t xml:space="preserve">Постановление Правительства РФ от 04.05.2026 № 513 «О внесении изменений в постановление Правительства Российской Федерации от 23 декабря 2024 г. № 1875» 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ind w:left="567" w:right="0" w:firstLine="0"/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Расширен перечень промышленной продукции с ограничениями допуска иностранных товаров по Постановлению № 1875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4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Письмо Минфина России от 04.05.2026 № 24-06-09/37004</w:t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ind w:left="567" w:right="0" w:firstLine="0"/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Минфин разъяснил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значение кода ОКПД2 при оценке заявок участников</w:t>
            </w:r>
            <w:r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3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Письмо Минпромторга России от 05.05.2026 № ПГ-12-4662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ind w:left="567" w:right="0" w:firstLine="0"/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Минпромторг разъяснил порядок применения Постановления № 1875 в части проверки кодов ОКПД 2 и подтверждения происхождения промышленной продукции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3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Судебная и 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  <w:t xml:space="preserve">дминистративная практика</w:t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color w:val="000000" w:themeColor="text1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shd w:val="nil" w:color="auto"/>
              <w:rPr>
                <w:rFonts w:ascii="PT Astra Serif" w:hAnsi="PT Astra Serif" w:eastAsia="PT Astra Serif" w:cs="PT Astra Serif"/>
                <w:bCs/>
                <w:i/>
                <w:sz w:val="26"/>
                <w:szCs w:val="26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остановление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б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ж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овского округа от 10.04.2026 по делу № А40-305813/2024</w:t>
            </w:r>
            <w:r>
              <w:rPr>
                <w:rFonts w:ascii="PT Astra Serif" w:hAnsi="PT Astra Serif" w:cs="PT Astra Serif"/>
                <w:bCs/>
                <w:i/>
                <w:iCs/>
                <w:sz w:val="26"/>
                <w:szCs w:val="26"/>
                <w:highlight w:val="none"/>
                <w14:ligatures w14:val="none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jc w:val="both"/>
              <w:shd w:val="nil" w:color="000000"/>
              <w:rPr>
                <w:rFonts w:ascii="PT Astra Serif" w:hAnsi="PT Astra Serif" w:cs="PT Astra Serif"/>
                <w:sz w:val="26"/>
                <w:szCs w:val="26"/>
                <w:highlight w:val="yellow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Комиссии по осуществлению закупок необходимо тщательно проверять достоверность сведений, указанных участником закупки в составе заявки, во избежание ограничения добросовестной конкуренции среди участников закупки, а также срыва исполнения государственного контракта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shd w:val="nil" w:color="auto"/>
              <w:rPr>
                <w:rFonts w:ascii="PT Astra Serif" w:hAnsi="PT Astra Serif" w:eastAsia="PT Astra Serif" w:cs="PT Astra Serif"/>
                <w:sz w:val="26"/>
                <w:szCs w:val="26"/>
                <w:highlight w:val="yellow"/>
                <w:lang w:eastAsia="ru-RU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Постановление Арбитражного суда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л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ь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л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/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i/>
                <w:iCs/>
                <w:sz w:val="26"/>
                <w:szCs w:val="26"/>
                <w:highlight w:val="none"/>
                <w:lang w:eastAsia="ru-RU"/>
              </w:rPr>
              <w:t xml:space="preserve">5</w:t>
            </w:r>
            <w:r>
              <w:rPr>
                <w:rFonts w:ascii="PT Astra Serif" w:hAnsi="PT Astra Serif" w:cs="PT Astra Serif"/>
                <w:i/>
                <w:sz w:val="26"/>
                <w:szCs w:val="26"/>
                <w:highlight w:val="yellow"/>
                <w14:ligatures w14:val="none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jc w:val="both"/>
              <w:shd w:val="nil" w:color="000000"/>
              <w:rPr>
                <w:rFonts w:ascii="PT Astra Serif" w:hAnsi="PT Astra Serif" w:cs="PT Astra Serif"/>
                <w:sz w:val="26"/>
                <w:szCs w:val="26"/>
                <w:highlight w:val="yellow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80808"/>
                <w:spacing w:val="-5"/>
                <w:sz w:val="26"/>
                <w:szCs w:val="26"/>
                <w:highlight w:val="none"/>
              </w:rPr>
              <w:t xml:space="preserve">Суд признал незаконным решение УФАС, установившего неправомерный допуск участника, представившего недостоверные сведения о непривлечении руководителя к ответственности по статье 14.43 КоАП РФ, так как на момент подачи заявки срок, в течение которого лицо считается подвергнутым административному наказанию, истек</w:t>
            </w:r>
            <w:r>
              <w:rPr>
                <w:rFonts w:ascii="PT Astra Serif" w:hAnsi="PT Astra Serif" w:eastAsia="PT Astra Serif" w:cs="PT Astra Serif"/>
                <w:color w:val="080808"/>
                <w:spacing w:val="-5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1398"/>
        </w:trPr>
        <w:tc>
          <w:tcPr>
            <w:tcW w:w="468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Решение УФАС России по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Х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а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н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т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ы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-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М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а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н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с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и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й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с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к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м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у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а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в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т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н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м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н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м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у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к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р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у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г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у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–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Ю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г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р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е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о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т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1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7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.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4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.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по делу </w:t>
              <w:br/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№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 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8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/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/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4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8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-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/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0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2</w:t>
            </w:r>
            <w:r>
              <w:rPr>
                <w:rFonts w:ascii="PT Astra Serif" w:hAnsi="PT Astra Serif"/>
                <w:i/>
                <w:color w:val="000000" w:themeColor="text1"/>
                <w:sz w:val="26"/>
                <w:szCs w:val="26"/>
                <w:highlight w:val="none"/>
              </w:rPr>
              <w:t xml:space="preserve">6</w:t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Cs/>
                <w:i/>
                <w:color w:val="000000" w:themeColor="text1"/>
                <w:sz w:val="26"/>
                <w:szCs w:val="26"/>
                <w:highlight w:val="none"/>
              </w:rPr>
            </w:r>
          </w:p>
        </w:tc>
        <w:tc>
          <w:tcPr>
            <w:tcW w:w="5381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hd w:val="nil" w:color="000000"/>
              <w:rPr>
                <w:rFonts w:ascii="PT Astra Serif" w:hAnsi="PT Astra Serif" w:cs="PT Astra Serif"/>
                <w:sz w:val="26"/>
                <w:szCs w:val="26"/>
                <w:highlight w:val="yellow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пыт субподрядчика не может учитываться как собственный опыт участника в качестве подтверждения опыта по Постановлению </w:t>
              <w:br/>
              <w:t xml:space="preserve">№ 2571, поскольку ответственность за исполнение обязательств перед заказчиком несет генеральный подрядчик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yellow"/>
                <w14:ligatures w14:val="none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color w:val="000000" w:themeColor="text1"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а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н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в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л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е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н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е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р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а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в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и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е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л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ь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с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в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а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Р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Ф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о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т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0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4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0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5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0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6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5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1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3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«О внесении изменений в постановление Правительства Российской Федерации от 23 декабря 2024 г. № 1875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»</w:t>
      </w:r>
      <w:r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Расширен перечень промышленной продукции с ограничениями допуска иностранных товаров по Постановлению № 1875.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yellow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Приложение № 2 к Постановлению № 1875 дополнено позициями следующего содержания: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tbl>
      <w:tblPr>
        <w:tblStyle w:val="780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5953"/>
        <w:gridCol w:w="3402"/>
      </w:tblGrid>
      <w:tr>
        <w:tblPrEx/>
        <w:trPr/>
        <w:tc>
          <w:tcPr>
            <w:tcW w:w="850" w:type="dxa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Конвейеры скребковые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28.22.17.112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Конвейеры роликовые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28.22.17.115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Конвейеры винтовые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28.22.17.116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Конвейеры прочие, не включенные в другие группировки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28.22.17.119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Элеваторы, в том числе корпусные элеваторы для бурильных и обсадных труб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28.22.17.120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Подъемники и конвейеры пневматические и прочие непрерывного действия для товаров или материалов, не включенные в другие группировки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28.22.17.190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Конвейеры непрерывного действия для подземных работ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28.92.11.120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127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Комбайны проходческие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28.92.12.121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850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128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superscript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  <w:vertAlign w:val="baseline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Машины для сортировки, грохочения, сепарации или промывки грунта, камня, руды и прочих минеральных веществ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contextualSpacing w:val="0"/>
              <w:jc w:val="both"/>
              <w:spacing w:before="0" w:after="0" w:line="240" w:lineRule="auto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  <w:t xml:space="preserve">28.92.40.110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none"/>
              </w:rPr>
            </w:r>
          </w:p>
        </w:tc>
      </w:tr>
    </w:tbl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Одновременно эти товары включили в приложение № 3 к Постановлению № 1875 с требованием о минимальном совокупном количестве баллов локализации — 80 баллов.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Изменения, внесенные в приложение № 2 Постановления № 1875, вступают в силу с 1 июля 2026 года, изменения, внесенные в приложение № 3 Постановления № 1875, вступают в силу с 1 января 2027 года.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Письмо Минфина России от 04.05.2025 № 24-06-09/37004 «О рассмотрении обращения»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Минфин разъяснил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значение кода ОКПД2 при оценке заявок участников</w:t>
      </w:r>
      <w:r/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соответствии с пунктом 5 части 1 статьи 42 Закона № 44-ФЗ при осуществлении закупки путе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 проведения открытых конкурентных способов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осударственных и муниципальных нужд, утвержденными постановлением Правительства Российской Федерации от 08.02.2017 № 145 (далее соответственно - Правила использования каталога, каталог).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силу пункта 4 Правил использования каталога заказчик при наличии в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каталоге позиции, определяющей соответствующую потребность в товаре, работе, услуге, применяет информацию, включенную в такую позицию каталога (наименование товара, работы, услуги, единицу измерения, сформированное описание при наличии), c указанной в ней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даты начала обязательного применения.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 этом согласно подпункту «д»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постановлением Правительства Российской Федерации от 08.02.2017 № 145, в позицию каталога включается справочная информация - коды, соответствующие товару, работе, услуге согласно российским и международным системам классификации, каталогизации (при наличии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).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Указанная в каталоге справочная информация, в том числе о соответствующих товару, работе, услуге кодах Общероссийского классификатора продукции по видам экономической деятельности ОК 034-2014 (КПЕС 2008) (далее - ОКПД 2), не образует описан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ия объекта закупки в понимании статьи 33 Закона № 44-ФЗ и не включена в перечень информации, подлежащей в соответствии с пунктом 4 Правил использования каталога обязательному использованию заказчиком при осуществлении закупки.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Различие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или соответствие кода ОКПД 2, указанного заказчиком в извещении об осуществлении закупки, и кода ОКПД 2, указанного в заявке участника закупки в отношении предлагаемого таким участником товара, не предусмотрено Законом № 44-ФЗ в качестве условия допуска 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ли отказа в допуске к участию в закупке, отказа в заключении контракта по результатам осуществления закупки.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 силу положений подпункта «а» пункта 3 Постановления № 1875 подтверждением происхождения товаров, указанных в позициях 1 - 145 приложения № 1 к По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становлению № 1875, позициях 1 - 433 приложения № 2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 Постановлению № 1875, из Российской Федерации является в том числе номер реестровой записи из реестра российской промышленной продукции, содержащей, помимо прочего, информацию о совокупном количестве баллов за выполнение (освоение) на территории Российск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ой Федерации соответствующих операций (условий) (если в отношении такого товара Постановлением № 719 за выполнен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№ 719, включая значение, определенное для цел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ей осуществления закупок (если Постановлением № 719 в отношении такого товара определено значение для целей осуществления закупок).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Таким образом, предоставляемая в качестве подтверждения происхождения товара из Российской Федерации реестровая запись из ре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естра российской промышленной продукции должна содержать информацию о совокупном количестве баллов за выполнение (освоение) на территории Российской Федерации соответствующих операций (условий), в случае если в отношении такого товара Постановлением № 719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установлены требования о совокупном количестве баллов.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 учетом положений части 2 статьи 43 Закона № 44-ФЗ заявка участника закупки должна содержать информацию и документы в отношении предлагаемого участником закупки товара.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При этом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характеристики предлагаемого участником закупки товара должны соответствовать показателям, установленным в описании объекта закупки в соответствии с частью 2 статьи 33 Закона № 44-ФЗ (подпункт «а» пункта 2 части 1 статьи 43 Закона </w:t>
        <w:br/>
        <w:t xml:space="preserve">№ 44-ФЗ). </w:t>
      </w:r>
      <w:r/>
      <w:r/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</w:r>
      <w:r>
        <w:rPr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highlight w:val="none"/>
          <w14:ligatures w14:val="none"/>
        </w:rPr>
        <w:suppressLineNumbers w:val="0"/>
      </w:pPr>
      <w:r>
        <w:rPr>
          <w:highlight w:val="none"/>
          <w14:ligatures w14:val="none"/>
        </w:rPr>
      </w:r>
      <w:r>
        <w:rPr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  <w:t xml:space="preserve">Письмо Минпромторга России от 05.05.2026 № ПГ-12-4662</w:t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Минпромторг разъяснил порядок применения Постановления № 1875 в части проверки кодов ОКПД 2 и подтверждения происхождения промышленной продукции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Пунктом 3 Постановления № 1875 определено, что для подтверждения страны происхождения товаров для целей постановления № 1875 в том числе используется номер реестровой записи из реестра российской промышленной продукции, предусмотренного статьей 171 Федерал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ьного закона от 31 декабря 2014 г. № 488-ФЗ «О промышленной политике в Российской Федерации» (далее соответственно – реестровая запись, реестр). Указанная реестровая запись подтверждает страну происхождения промышленной продукции.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Важно учесть, что реестровые записи должны быть действующими и соответствующими пункту 3 Постановления № 1875 как на этапе подачи участником закупки заявки на участие в закупке или на этапе заключения контракта, так и на этапе исполнения контракта (договор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а).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Комиссия по осуществлению закупок самостоятельно принимает решение о соответствии товара (промышленной продукции), руководствуясь общими нормами Закона № 44-ФЗ, а также осуществляет проверку соответствующих реестровых за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писей из реестра, в частности, на предмет соответствия страны происхождения товара и требованиям действующего законодательства.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свою очередь, различие или соответствие кода согласно Общероссийскому классификатору продукции по видам экономической деятельн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ости, утвержденному Приказом Росстандарта от 31 января 2014 г. № 14-ст, указанного заказчиком в извещении об осуществлении закупки, и обусловленного кода ОКПД 2, указанного в заявке участника закупки в отношении предлагаемого таким участником товара, не пр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едусмотрено Законом № 44-ФЗ в качестве условия допуска или отказа в допуске к участию в закупке, отказа в заключении контракта по результатам осуществления закупки.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силу положений подпункта «а» пункта 3 Постановления № 1875 подтверждением происхождения 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оваров, указанных в позициях 1 - 145 приложения № 1 к Постановлению № 1875, позициях 1 - 433 приложения № 2 к Постановлению № 1875, из Российской Федерации является в том числе номер реестровой записи из реестра российской промышленной продукции, содержаще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й, помимо прочего,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№ 71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9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составляет или превышает значение, определенное Постановлением № 719, включая значение, определенное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для целей осуществления закупок (если Постановлением № 719 в отношении такого товара определено значение для целей осуществления закупок). 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этом в соответствии с подпунктом «д» пункта 4 Постановления № 1875 позиции приложения № 1 и приложения № 2 к Пост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ановлению № 1875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фикатору продукции по видам экономической деятельности ОК 034-2014 (КПЕС 2008)», 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классификатору продукции по видам экономической деятельности ОК 034-2014 (КПЕС 2008)».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/>
      <w:r/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Постановление Арбитражного суда Московского округа от 10.04.2026 по делу </w:t>
        <w:br/>
        <w:t xml:space="preserve">№ А40-305813/2024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Заявитель: Департамент</w:t>
      </w:r>
      <w:r>
        <w:rPr>
          <w:rFonts w:ascii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ФАС России проведена проверка в отношении действий Департамента, комиссии Департамента по осуществлению закупок при проведении открытого конкурса в электронной форме на выполнение работ по строительству объекта капитального строительства. По результатам проверки ФАС России были сделаны выводы о том, что представленные Обществом (победитель закупки) документы в целях присвоения баллов по критерию, а также подтверждения соответствия требованиям позиции 7 приложения к Постановлению Правительства РФ от 29.12.2021 № 2571 являются подложными, не подтверждают наличие заявленного опыта выполнения работ, связанного с предметом конкурса, и, следовательно, являются недостоверными сведениями.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Решением ФАС России действия комиссии по осуществлению закупок признаны нарушающими пункт 8 части 12 статьи 48 Закона № 44-ФЗ.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Не согласившись с указанным решением ФАС России, Департамент обратился в суд с заявлением об оспаривании решения.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Суд первой инстанции установил, что в качестве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документов в целях присвоения баллов по критерию, а также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подтверждения наличия у Общества опыта выполнения работ в соответствии с позицией 7 приложения к Постановлению № 2571 размещены копии договора подряда, акта приемки законченного строительством объекта, разрешения на ввод в эксплуатацию в составе объекта капитального строительства. Службой финансово-экономического контроля и контроля в сфере закупок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проведена внеплановая проверка действий субъектов контроля при осуществлении конкурса и принято решение, согласно которому у Общества отсутствует опыт выполнения работ по договору.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Суд указал, что положения Закона № 44-ФЗ не ограничивают комиссию по осуществлению закупок в проверке представленных документов, информации, сведений в составе заявки участника закупки путем принятия зависящих от нее разумных и законных мер. В частности, заказчик вправе направлять запросы в государственные органы, лицам (контрагентам участника, подавшего заявку), указанным в заявке, а также использовать доступные информационные источники и сервисы для целей проверки документов и сведений на предмет их достоверности и соответствия действительности. Бездействие со стороны комиссии по осуществлению закупок при проверке достоверности сведений, указанных участником закупки в составе заявки, порождает ограничение добросовестной конкуренции среди участников закупки, а также может привести к срыву исполнения государственного контракта.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Суд первой инстанции в удовлетворении заявленных Департаментом требований отказал, суды вышестоящих инстанций поддержали решение суда первой инстанции.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Постановление Арбитражного суда Дальневосточного округа от 28.04.2026 по делу № А51-3873/2025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Заявитель: Общество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Учреждением размещено извещение о проведении открытого конкурса в электронной форме на оказание услуг по организации питания детей для нужд муниципальных бюджетных дошкольных образований. Из извещения следует, что к участникам закупки предъявлены требования в соответствии с пунктом 3 позиции 33 раздела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I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V приложения к Постановлению № 2571.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Общество 1 (победитель конкурса) 05.12.2024 подало заявку на конкурс. Аккредитацию на электронной площадке Общество 1 прошло 04.12.2024, в том числе разместив сведения о непривлечении руководителя, членов коллегиального исполнительного органа, лица, исполняющего функции единоличного исполнительного органа, главного бухгалтера участника закупки, являющегося юридическим лицом, к административной ответственности за совершение административных правонарушений, предусмотренных статьями 6.3, 6.5 - 6.7, 14.43, 14.44 - 14.46.2 КоАП РФ.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Общество 2 обратилось в УФАС с жалобой на действия комиссии по осуществлению закупок по причине неправомерного допуска заявки Общества 1 к участию в конкурсе в связи с представлением Обществом 1 заведомо недостоверных сведений.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УФАС признало жалобу Общества 2 обоснованной, в действиях комиссии по осуществлению закупок установлено нарушение части 12 статьи 48 Закона № 44-ФЗ.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Не согласившись с принятым УФАС решением, Общество 1 обратилось в арбитражный суд с заявлением о признании решения УФАС незаконным.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Суд первой инстанции, отказывая в удовлетворении требований, исходил из того, что Обществом 1 не выполнены требования, указанные в пункте 3 позиции 33 раздела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I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V приложения к Постановлению № 2571.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Отменяя решение суда первой инстанции, суд апелляционной инстанции установил, что генеральный директор Общества 1 постановлением от 09.11.2023 привлечен к административной ответственности по статье 14.43 КоАП РФ.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  <w:t xml:space="preserve">В соответствии с частью 1 статьи 4.6 КоАП РФ лицо, которому назначено административное наказание за совершение административного правонарушения,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постановления, за исключением случаев, предусмотренных частями 2 и 3 указанной статьи КоАП РФ.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Согласно пункту 1 статьи 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новление не было обжаловано или опротестовано, за исключением случаев, установленных пунктом 4 этой статьи.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Частью 1 статьи 30.3 КоАП РФ предусмотрено, что жалоба на постановление по делу об административном правонарушении может быть подана в течение десят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суток со дня вручения или получения копии постановления.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Учитывая, что постановление от 09.11.2023 о привлечении генерального директора Общества 1 к административной ответственности не обжаловалось,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 имеет правового значения факт его вручения или получения копии, таким образом, постановление вступило в законную силу 19.11.2023.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Указанное свидетельствует о том, что как на момент размещения извещения о конкурсе, так и на момент прохождения аккредитац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ии на электронной площадке - 04.12.2024 и подачи заявки – 05.12.2024, Обществом 1 положения пункта 3 позиции 33 раздела VI приложения к Постановлению № 2571 нарушены не были. 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Суд кассационной инстанции поддержал выводы суда апелляционной инстанции, жалобу Общества 2 оставил без удовлетворения.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  <w:t xml:space="preserve">Решение УФАС России по Ханты-Мансийскому автономному округу – Югре от 17.04.2026 по делу № 086/06/48-662/2026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Заявитель: Общество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Общество обратилось в УФАС с жалобой на действия комиссии по осуществлению закупок при проведении открытого конкурса в электронной форме на выполнение инженерных изысканий, осуществление подготовки проектной и рабочей документации в целях строительства объекта капитального строительства, выразившиеся в неправомерном отклонении заявки Общества.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Учреждением в извещении о проведении конкурса установлены дополнительные требования к участникам закупки в соответствии с позицией 6 раздела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I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I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 приложения к Постановлению № 2571: 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Согласно протоколу подведения итогов определения поставщика (подрядчика, исполнителя) заявка Общества отклонена по п. 2 ч. 12 ст. 48 Закона № 44-ФЗ в связи с несоответствием информации и документов, подтверждающих соответствие участника закупки дополнительным требованиям, установленным частью 2 статьи 31 Закона № 44-ФЗ и предусмотренных позицией 6 раздела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I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I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 Приложения к Постановлению № 2571. Представленный участником закупки договор и положительное заключение государственной экспертизы не подтверждает опыт исполнения договора, так как является договором субподряда.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УФАС отметило, что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лицо, выполнявшее в качестве субподрядчика работы по подготовке проектной документации и (или) выполнению инженерных изысканий и (или) строительству, реконструкции, капитальному ремонту, сносу объекта капитального строительства, не может быть признано лицо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м, имеющим опыт работы в совокупном объеме возникающих обязательств, поскольку в силу пункта 3 статьи 706 ГК РФ генеральный подрядчик несет перед заказчиком ответственность за последствия неисполнения или ненадлежащего исполнения обязательств субподрядчико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м, а перед субподрядчиком - ответственность за неисполнение или ненадлежащее исполнение заказчиком обязательств по договору подряда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Д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оговор (контракт) должен быть заключен с участником закупки и исполнен участником закупки в полном объеме, то есть документы должны быть выданы в отношении участника закупки, в связи с чем предоставление участником закупки документов об опыте иных лиц не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соответствует требованиям Постановления №2571.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УФАС признало жалобу Общества необоснованной.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bCs/>
          <w:i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:lang w:val="ru-RU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  <w:lang w:val="ru-RU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rFonts w:ascii="PT Astra Serif" w:hAnsi="PT Astra Serif" w:eastAsia="PT Astra Serif" w:cs="PT Astra Serif"/>
          <w:bCs/>
          <w:i/>
          <w:color w:val="000000" w:themeColor="text1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iCs/>
          <w:color w:val="000000" w:themeColor="text1"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40" w:lineRule="auto"/>
        <w:shd w:val="nil" w:color="000000"/>
        <w:rPr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color w:val="000000" w:themeColor="text1"/>
          <w:sz w:val="26"/>
          <w:szCs w:val="26"/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Roboto">
    <w:panose1 w:val="02000000000000000000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jc w:val="center"/>
      <w:rPr>
        <w:rFonts w:ascii="PT Astra Serif" w:hAnsi="PT Astra Serif" w:cs="PT Astra Serif"/>
      </w:rPr>
    </w:pPr>
    <w:fldSimple w:instr="PAGE \* MERGEFORMAT">
      <w:r>
        <w:rPr>
          <w:rFonts w:ascii="PT Astra Serif" w:hAnsi="PT Astra Serif" w:eastAsia="PT Astra Serif" w:cs="PT Astra Serif"/>
        </w:rPr>
        <w:t xml:space="preserve">1</w:t>
      </w:r>
    </w:fldSimple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  <w:p>
    <w:pPr>
      <w:pStyle w:val="77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Roboto" w:hAnsi="Roboto" w:eastAsia="Roboto" w:cs="Roboto"/>
        <w:color w:val="1c1c21"/>
        <w:spacing w:val="1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1c1c21"/>
        <w:spacing w:val="1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1c1c21"/>
        <w:spacing w:val="10"/>
        <w:sz w:val="24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709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80808"/>
        <w:spacing w:val="-5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80808"/>
        <w:spacing w:val="-5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80808"/>
        <w:spacing w:val="-5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80808"/>
        <w:spacing w:val="-5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80808"/>
        <w:spacing w:val="-5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80808"/>
        <w:spacing w:val="-5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80808"/>
        <w:spacing w:val="-5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80808"/>
        <w:spacing w:val="-5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80808"/>
        <w:spacing w:val="-5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>
    <w:name w:val="Heading 1"/>
    <w:basedOn w:val="924"/>
    <w:next w:val="924"/>
    <w:link w:val="74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9">
    <w:name w:val="Heading 1 Char"/>
    <w:link w:val="74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50">
    <w:name w:val="Heading 2"/>
    <w:basedOn w:val="924"/>
    <w:next w:val="924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51">
    <w:name w:val="Heading 2 Char"/>
    <w:link w:val="750"/>
    <w:uiPriority w:val="9"/>
    <w:rPr>
      <w:rFonts w:ascii="Liberation Sans" w:hAnsi="Liberation Sans" w:eastAsia="Liberation Sans" w:cs="Liberation Sans"/>
      <w:sz w:val="34"/>
    </w:rPr>
  </w:style>
  <w:style w:type="paragraph" w:styleId="752">
    <w:name w:val="Heading 3"/>
    <w:basedOn w:val="924"/>
    <w:next w:val="924"/>
    <w:link w:val="75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53">
    <w:name w:val="Heading 3 Char"/>
    <w:link w:val="75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54">
    <w:name w:val="Heading 4"/>
    <w:basedOn w:val="924"/>
    <w:next w:val="924"/>
    <w:link w:val="75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5">
    <w:name w:val="Heading 4 Char"/>
    <w:link w:val="75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6">
    <w:name w:val="Heading 5"/>
    <w:basedOn w:val="924"/>
    <w:next w:val="924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7">
    <w:name w:val="Heading 5 Char"/>
    <w:link w:val="75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8">
    <w:name w:val="Heading 6"/>
    <w:basedOn w:val="924"/>
    <w:next w:val="924"/>
    <w:link w:val="75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9">
    <w:name w:val="Heading 6 Char"/>
    <w:link w:val="75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0">
    <w:name w:val="Heading 7"/>
    <w:basedOn w:val="924"/>
    <w:next w:val="924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1">
    <w:name w:val="Heading 7 Char"/>
    <w:link w:val="76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2">
    <w:name w:val="Heading 8"/>
    <w:basedOn w:val="924"/>
    <w:next w:val="924"/>
    <w:link w:val="76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3">
    <w:name w:val="Heading 8 Char"/>
    <w:link w:val="76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64">
    <w:name w:val="Heading 9"/>
    <w:basedOn w:val="924"/>
    <w:next w:val="92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5">
    <w:name w:val="Heading 9 Char"/>
    <w:link w:val="76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6">
    <w:name w:val="Title"/>
    <w:basedOn w:val="924"/>
    <w:next w:val="924"/>
    <w:link w:val="7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7">
    <w:name w:val="Title Char"/>
    <w:link w:val="766"/>
    <w:uiPriority w:val="10"/>
    <w:rPr>
      <w:sz w:val="48"/>
      <w:szCs w:val="48"/>
    </w:rPr>
  </w:style>
  <w:style w:type="paragraph" w:styleId="768">
    <w:name w:val="Subtitle"/>
    <w:basedOn w:val="924"/>
    <w:next w:val="924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>
    <w:name w:val="Subtitle Char"/>
    <w:link w:val="768"/>
    <w:uiPriority w:val="11"/>
    <w:rPr>
      <w:sz w:val="24"/>
      <w:szCs w:val="24"/>
    </w:rPr>
  </w:style>
  <w:style w:type="paragraph" w:styleId="770">
    <w:name w:val="Quote"/>
    <w:basedOn w:val="924"/>
    <w:next w:val="924"/>
    <w:link w:val="771"/>
    <w:uiPriority w:val="29"/>
    <w:qFormat/>
    <w:pPr>
      <w:ind w:left="720" w:right="720"/>
    </w:pPr>
    <w:rPr>
      <w:i/>
    </w:rPr>
  </w:style>
  <w:style w:type="character" w:styleId="771">
    <w:name w:val="Quote Char"/>
    <w:link w:val="770"/>
    <w:uiPriority w:val="29"/>
    <w:rPr>
      <w:i/>
    </w:rPr>
  </w:style>
  <w:style w:type="paragraph" w:styleId="772">
    <w:name w:val="Intense Quote"/>
    <w:basedOn w:val="924"/>
    <w:next w:val="924"/>
    <w:link w:val="7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>
    <w:name w:val="Intense Quote Char"/>
    <w:link w:val="772"/>
    <w:uiPriority w:val="30"/>
    <w:rPr>
      <w:i/>
    </w:rPr>
  </w:style>
  <w:style w:type="paragraph" w:styleId="774">
    <w:name w:val="Header"/>
    <w:basedOn w:val="924"/>
    <w:link w:val="7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5">
    <w:name w:val="Header Char"/>
    <w:link w:val="774"/>
    <w:uiPriority w:val="99"/>
  </w:style>
  <w:style w:type="paragraph" w:styleId="776">
    <w:name w:val="Footer"/>
    <w:basedOn w:val="924"/>
    <w:link w:val="7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7">
    <w:name w:val="Footer Char"/>
    <w:link w:val="776"/>
    <w:uiPriority w:val="99"/>
  </w:style>
  <w:style w:type="paragraph" w:styleId="778">
    <w:name w:val="Caption"/>
    <w:basedOn w:val="924"/>
    <w:next w:val="924"/>
    <w:link w:val="7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9">
    <w:name w:val="Caption Char"/>
    <w:link w:val="778"/>
    <w:uiPriority w:val="35"/>
    <w:rPr>
      <w:b/>
      <w:bCs/>
      <w:color w:val="4f81bd" w:themeColor="accent1"/>
      <w:sz w:val="18"/>
      <w:szCs w:val="18"/>
    </w:rPr>
  </w:style>
  <w:style w:type="table" w:styleId="780">
    <w:name w:val="Table Grid"/>
    <w:basedOn w:val="92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>
    <w:name w:val="Table Grid Light"/>
    <w:basedOn w:val="9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>
    <w:name w:val="Plain Table 1"/>
    <w:basedOn w:val="9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3">
    <w:name w:val="Plain Table 2"/>
    <w:basedOn w:val="9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4">
    <w:name w:val="Plain Table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>
    <w:name w:val="Plain Table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Plain Table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7">
    <w:name w:val="Grid Table 1 Light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4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9">
    <w:name w:val="Grid Table 4 - Accent 1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0">
    <w:name w:val="Grid Table 4 - Accent 2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Grid Table 4 - Accent 3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2">
    <w:name w:val="Grid Table 4 - Accent 4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Grid Table 4 - Accent 5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4">
    <w:name w:val="Grid Table 4 - Accent 6"/>
    <w:basedOn w:val="9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5">
    <w:name w:val="Grid Table 5 Dark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6">
    <w:name w:val="Grid Table 5 Dark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22">
    <w:name w:val="Grid Table 6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3">
    <w:name w:val="Grid Table 6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4">
    <w:name w:val="Grid Table 6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5">
    <w:name w:val="Grid Table 6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6">
    <w:name w:val="Grid Table 6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27">
    <w:name w:val="Grid Table 6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8">
    <w:name w:val="Grid Table 6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9">
    <w:name w:val="Grid Table 7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4">
    <w:name w:val="List Table 2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5">
    <w:name w:val="List Table 2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6">
    <w:name w:val="List Table 2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7">
    <w:name w:val="List Table 2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8">
    <w:name w:val="List Table 2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9">
    <w:name w:val="List Table 2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0">
    <w:name w:val="List Table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5 Dark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5">
    <w:name w:val="List Table 5 Dark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6">
    <w:name w:val="List Table 5 Dark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7">
    <w:name w:val="List Table 5 Dark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8">
    <w:name w:val="List Table 5 Dark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9">
    <w:name w:val="List Table 5 Dark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6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2">
    <w:name w:val="List Table 6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3">
    <w:name w:val="List Table 6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4">
    <w:name w:val="List Table 6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5">
    <w:name w:val="List Table 6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6">
    <w:name w:val="List Table 6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7">
    <w:name w:val="List Table 6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8">
    <w:name w:val="List Table 7 Colorful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9">
    <w:name w:val="List Table 7 Colorful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80">
    <w:name w:val="List Table 7 Colorful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81">
    <w:name w:val="List Table 7 Colorful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82">
    <w:name w:val="List Table 7 Colorful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83">
    <w:name w:val="List Table 7 Colorful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84">
    <w:name w:val="List Table 7 Colorful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85">
    <w:name w:val="Lined - Accent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6">
    <w:name w:val="Lined - Accent 1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7">
    <w:name w:val="Lined - Accent 2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8">
    <w:name w:val="Lined - Accent 3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9">
    <w:name w:val="Lined - Accent 4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0">
    <w:name w:val="Lined - Accent 5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1">
    <w:name w:val="Lined - Accent 6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2">
    <w:name w:val="Bordered &amp; Lined - Accent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3">
    <w:name w:val="Bordered &amp; Lined - Accent 1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4">
    <w:name w:val="Bordered &amp; Lined - Accent 2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5">
    <w:name w:val="Bordered &amp; Lined - Accent 3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6">
    <w:name w:val="Bordered &amp; Lined - Accent 4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7">
    <w:name w:val="Bordered &amp; Lined - Accent 5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8">
    <w:name w:val="Bordered &amp; Lined - Accent 6"/>
    <w:basedOn w:val="9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9">
    <w:name w:val="Bordered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0">
    <w:name w:val="Bordered - Accent 1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1">
    <w:name w:val="Bordered - Accent 2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2">
    <w:name w:val="Bordered - Accent 3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3">
    <w:name w:val="Bordered - Accent 4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4">
    <w:name w:val="Bordered - Accent 5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5">
    <w:name w:val="Bordered - Accent 6"/>
    <w:basedOn w:val="9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6">
    <w:name w:val="Hyperlink"/>
    <w:uiPriority w:val="99"/>
    <w:unhideWhenUsed/>
    <w:rPr>
      <w:color w:val="0000ff" w:themeColor="hyperlink"/>
      <w:u w:val="single"/>
    </w:rPr>
  </w:style>
  <w:style w:type="paragraph" w:styleId="907">
    <w:name w:val="footnote text"/>
    <w:basedOn w:val="924"/>
    <w:link w:val="908"/>
    <w:uiPriority w:val="99"/>
    <w:semiHidden/>
    <w:unhideWhenUsed/>
    <w:pPr>
      <w:spacing w:after="40" w:line="240" w:lineRule="auto"/>
    </w:pPr>
    <w:rPr>
      <w:sz w:val="18"/>
    </w:rPr>
  </w:style>
  <w:style w:type="character" w:styleId="908">
    <w:name w:val="Footnote Text Char"/>
    <w:link w:val="907"/>
    <w:uiPriority w:val="99"/>
    <w:rPr>
      <w:sz w:val="18"/>
    </w:rPr>
  </w:style>
  <w:style w:type="character" w:styleId="909">
    <w:name w:val="footnote reference"/>
    <w:uiPriority w:val="99"/>
    <w:unhideWhenUsed/>
    <w:rPr>
      <w:vertAlign w:val="superscript"/>
    </w:rPr>
  </w:style>
  <w:style w:type="paragraph" w:styleId="910">
    <w:name w:val="endnote text"/>
    <w:basedOn w:val="924"/>
    <w:link w:val="911"/>
    <w:uiPriority w:val="99"/>
    <w:semiHidden/>
    <w:unhideWhenUsed/>
    <w:pPr>
      <w:spacing w:after="0" w:line="240" w:lineRule="auto"/>
    </w:pPr>
    <w:rPr>
      <w:sz w:val="20"/>
    </w:rPr>
  </w:style>
  <w:style w:type="character" w:styleId="911">
    <w:name w:val="Endnote Text Char"/>
    <w:link w:val="910"/>
    <w:uiPriority w:val="99"/>
    <w:rPr>
      <w:sz w:val="20"/>
    </w:rPr>
  </w:style>
  <w:style w:type="character" w:styleId="912">
    <w:name w:val="endnote reference"/>
    <w:uiPriority w:val="99"/>
    <w:semiHidden/>
    <w:unhideWhenUsed/>
    <w:rPr>
      <w:vertAlign w:val="superscript"/>
    </w:rPr>
  </w:style>
  <w:style w:type="paragraph" w:styleId="913">
    <w:name w:val="toc 1"/>
    <w:basedOn w:val="924"/>
    <w:next w:val="924"/>
    <w:uiPriority w:val="39"/>
    <w:unhideWhenUsed/>
    <w:pPr>
      <w:ind w:left="0" w:right="0" w:firstLine="0"/>
      <w:spacing w:after="57"/>
    </w:pPr>
  </w:style>
  <w:style w:type="paragraph" w:styleId="914">
    <w:name w:val="toc 2"/>
    <w:basedOn w:val="924"/>
    <w:next w:val="924"/>
    <w:uiPriority w:val="39"/>
    <w:unhideWhenUsed/>
    <w:pPr>
      <w:ind w:left="283" w:right="0" w:firstLine="0"/>
      <w:spacing w:after="57"/>
    </w:pPr>
  </w:style>
  <w:style w:type="paragraph" w:styleId="915">
    <w:name w:val="toc 3"/>
    <w:basedOn w:val="924"/>
    <w:next w:val="924"/>
    <w:uiPriority w:val="39"/>
    <w:unhideWhenUsed/>
    <w:pPr>
      <w:ind w:left="567" w:right="0" w:firstLine="0"/>
      <w:spacing w:after="57"/>
    </w:pPr>
  </w:style>
  <w:style w:type="paragraph" w:styleId="916">
    <w:name w:val="toc 4"/>
    <w:basedOn w:val="924"/>
    <w:next w:val="924"/>
    <w:uiPriority w:val="39"/>
    <w:unhideWhenUsed/>
    <w:pPr>
      <w:ind w:left="850" w:right="0" w:firstLine="0"/>
      <w:spacing w:after="57"/>
    </w:pPr>
  </w:style>
  <w:style w:type="paragraph" w:styleId="917">
    <w:name w:val="toc 5"/>
    <w:basedOn w:val="924"/>
    <w:next w:val="924"/>
    <w:uiPriority w:val="39"/>
    <w:unhideWhenUsed/>
    <w:pPr>
      <w:ind w:left="1134" w:right="0" w:firstLine="0"/>
      <w:spacing w:after="57"/>
    </w:pPr>
  </w:style>
  <w:style w:type="paragraph" w:styleId="918">
    <w:name w:val="toc 6"/>
    <w:basedOn w:val="924"/>
    <w:next w:val="924"/>
    <w:uiPriority w:val="39"/>
    <w:unhideWhenUsed/>
    <w:pPr>
      <w:ind w:left="1417" w:right="0" w:firstLine="0"/>
      <w:spacing w:after="57"/>
    </w:pPr>
  </w:style>
  <w:style w:type="paragraph" w:styleId="919">
    <w:name w:val="toc 7"/>
    <w:basedOn w:val="924"/>
    <w:next w:val="924"/>
    <w:uiPriority w:val="39"/>
    <w:unhideWhenUsed/>
    <w:pPr>
      <w:ind w:left="1701" w:right="0" w:firstLine="0"/>
      <w:spacing w:after="57"/>
    </w:pPr>
  </w:style>
  <w:style w:type="paragraph" w:styleId="920">
    <w:name w:val="toc 8"/>
    <w:basedOn w:val="924"/>
    <w:next w:val="924"/>
    <w:uiPriority w:val="39"/>
    <w:unhideWhenUsed/>
    <w:pPr>
      <w:ind w:left="1984" w:right="0" w:firstLine="0"/>
      <w:spacing w:after="57"/>
    </w:pPr>
  </w:style>
  <w:style w:type="paragraph" w:styleId="921">
    <w:name w:val="toc 9"/>
    <w:basedOn w:val="924"/>
    <w:next w:val="924"/>
    <w:uiPriority w:val="39"/>
    <w:unhideWhenUsed/>
    <w:pPr>
      <w:ind w:left="2268" w:right="0" w:firstLine="0"/>
      <w:spacing w:after="57"/>
    </w:pPr>
  </w:style>
  <w:style w:type="paragraph" w:styleId="922">
    <w:name w:val="TOC Heading"/>
    <w:uiPriority w:val="39"/>
    <w:unhideWhenUsed/>
  </w:style>
  <w:style w:type="paragraph" w:styleId="923">
    <w:name w:val="table of figures"/>
    <w:basedOn w:val="924"/>
    <w:next w:val="924"/>
    <w:uiPriority w:val="99"/>
    <w:unhideWhenUsed/>
    <w:pPr>
      <w:spacing w:after="0" w:afterAutospacing="0"/>
    </w:pPr>
  </w:style>
  <w:style w:type="paragraph" w:styleId="924" w:default="1">
    <w:name w:val="Normal"/>
    <w:qFormat/>
  </w:style>
  <w:style w:type="table" w:styleId="9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6" w:default="1">
    <w:name w:val="No List"/>
    <w:uiPriority w:val="99"/>
    <w:semiHidden/>
    <w:unhideWhenUsed/>
  </w:style>
  <w:style w:type="paragraph" w:styleId="927">
    <w:name w:val="No Spacing"/>
    <w:basedOn w:val="924"/>
    <w:uiPriority w:val="1"/>
    <w:qFormat/>
    <w:pPr>
      <w:spacing w:after="0" w:line="240" w:lineRule="auto"/>
    </w:pPr>
  </w:style>
  <w:style w:type="paragraph" w:styleId="928">
    <w:name w:val="List Paragraph"/>
    <w:basedOn w:val="924"/>
    <w:uiPriority w:val="34"/>
    <w:qFormat/>
    <w:pPr>
      <w:contextualSpacing/>
      <w:ind w:left="720"/>
    </w:pPr>
  </w:style>
  <w:style w:type="character" w:styleId="929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vorogushina</cp:lastModifiedBy>
  <cp:revision>12</cp:revision>
  <dcterms:modified xsi:type="dcterms:W3CDTF">2026-05-12T09:57:21Z</dcterms:modified>
</cp:coreProperties>
</file>