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709"/>
        <w:jc w:val="both"/>
        <w:spacing w:after="120" w:line="240" w:lineRule="auto"/>
        <w:rPr>
          <w:rFonts w:ascii="PT Astra Serif" w:hAnsi="PT Astra Serif" w:cs="PT Astra Serif"/>
          <w:b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b/>
          <w:color w:val="000000" w:themeColor="text1"/>
          <w:sz w:val="24"/>
          <w:szCs w:val="24"/>
        </w:rPr>
        <w:t xml:space="preserve">МОНИТОРИНГ на 18</w:t>
      </w:r>
      <w:r>
        <w:rPr>
          <w:rFonts w:ascii="PT Astra Serif" w:hAnsi="PT Astra Serif" w:eastAsia="PT Astra Serif" w:cs="PT Astra Serif"/>
          <w:b/>
          <w:color w:val="000000" w:themeColor="text1"/>
          <w:sz w:val="24"/>
          <w:szCs w:val="24"/>
        </w:rPr>
        <w:t xml:space="preserve">.05.2026</w:t>
      </w:r>
      <w:r>
        <w:rPr>
          <w:rFonts w:ascii="PT Astra Serif" w:hAnsi="PT Astra Serif" w:cs="PT Astra Serif"/>
          <w:b/>
          <w:color w:val="000000" w:themeColor="text1"/>
          <w:sz w:val="24"/>
          <w:szCs w:val="24"/>
        </w:rPr>
      </w:r>
    </w:p>
    <w:tbl>
      <w:tblPr>
        <w:tblStyle w:val="782"/>
        <w:tblW w:w="10064" w:type="dxa"/>
        <w:tblInd w:w="-6" w:type="dxa"/>
        <w:tblLayout w:type="fixed"/>
        <w:tblLook w:val="04A0" w:firstRow="1" w:lastRow="0" w:firstColumn="1" w:lastColumn="0" w:noHBand="0" w:noVBand="1"/>
      </w:tblPr>
      <w:tblGrid>
        <w:gridCol w:w="4683"/>
        <w:gridCol w:w="5381"/>
      </w:tblGrid>
      <w:tr>
        <w:tblPrEx/>
        <w:trPr>
          <w:trHeight w:val="164"/>
        </w:trPr>
        <w:tc>
          <w:tcPr>
            <w:gridSpan w:val="2"/>
            <w:tcW w:w="10064" w:type="dxa"/>
            <w:textDirection w:val="lrTb"/>
            <w:noWrap w:val="false"/>
          </w:tcPr>
          <w:p>
            <w:pPr>
              <w:pStyle w:val="927"/>
              <w:numPr>
                <w:ilvl w:val="0"/>
                <w:numId w:val="1"/>
              </w:numPr>
              <w:ind w:left="602" w:hanging="602"/>
              <w:jc w:val="both"/>
              <w:rPr>
                <w:rFonts w:ascii="PT Astra Serif" w:hAnsi="PT Astra Serif" w:eastAsia="PT Astra Serif" w:cs="Times New Roman"/>
                <w:b/>
                <w:bCs/>
                <w:color w:val="000000" w:themeColor="text1"/>
                <w:sz w:val="26"/>
                <w:szCs w:val="26"/>
                <w:shd w:val="clear" w:color="auto" w:fill="ffffff"/>
              </w:rPr>
            </w:pPr>
            <w:r>
              <w:rPr>
                <w:rFonts w:ascii="PT Astra Serif" w:hAnsi="PT Astra Serif" w:eastAsia="PT Astra Serif" w:cs="Times New Roman"/>
                <w:b/>
                <w:color w:val="000000" w:themeColor="text1"/>
                <w:sz w:val="26"/>
                <w:szCs w:val="26"/>
                <w:shd w:val="clear" w:color="auto" w:fill="ffffff"/>
              </w:rPr>
              <w:t xml:space="preserve">Проект Постановления Правительства РФ № </w:t>
            </w:r>
            <w:r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01/02/04-26/00167083 </w:t>
            </w:r>
            <w:r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«О признании утратившим силу приказа Министерства строительства и жилищно-коммунального хозяйства Российской Федерации от 18 марта 2021 г. № 160/</w:t>
            </w:r>
            <w:r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пр</w:t>
            </w:r>
            <w:r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»</w:t>
            </w:r>
            <w:r>
              <w:rPr>
                <w:rFonts w:ascii="PT Astra Serif" w:hAnsi="PT Astra Serif" w:eastAsia="PT Astra Serif" w:cs="Times New Roman"/>
                <w:b/>
                <w:bCs/>
                <w:color w:val="000000" w:themeColor="text1"/>
                <w:sz w:val="26"/>
                <w:szCs w:val="26"/>
                <w:shd w:val="clear" w:color="auto" w:fill="ffffff"/>
              </w:rPr>
            </w:r>
          </w:p>
        </w:tc>
      </w:tr>
      <w:tr>
        <w:tblPrEx/>
        <w:trPr>
          <w:trHeight w:val="164"/>
        </w:trPr>
        <w:tc>
          <w:tcPr>
            <w:gridSpan w:val="2"/>
            <w:tcW w:w="10064" w:type="dxa"/>
            <w:textDirection w:val="lrTb"/>
            <w:noWrap w:val="false"/>
          </w:tcPr>
          <w:p>
            <w:pPr>
              <w:ind w:left="602"/>
              <w:jc w:val="both"/>
              <w:rPr>
                <w:rFonts w:ascii="PT Astra Serif" w:hAnsi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sz w:val="26"/>
                <w:szCs w:val="26"/>
                <w:highlight w:val="none"/>
              </w:rPr>
              <w:t xml:space="preserve">Предложено отменить типовые условия контракта н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  <w:t xml:space="preserve">а проведение строительного контроля ФБУ «Федеральный центр строительного контроля» по объектам капитального строительства, финансируемым в рамках госпрограммы «Обеспечение доступным и комфортным жильем и коммунальными услугами граждан Российской Федерации»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</w:p>
        </w:tc>
      </w:tr>
      <w:tr>
        <w:tblPrEx/>
        <w:trPr>
          <w:trHeight w:val="299"/>
        </w:trPr>
        <w:tc>
          <w:tcPr>
            <w:gridSpan w:val="2"/>
            <w:tcW w:w="10064" w:type="dxa"/>
            <w:vMerge w:val="restart"/>
            <w:textDirection w:val="lrTb"/>
            <w:noWrap w:val="false"/>
          </w:tcPr>
          <w:p>
            <w:pPr>
              <w:pStyle w:val="927"/>
              <w:numPr>
                <w:ilvl w:val="0"/>
                <w:numId w:val="3"/>
              </w:numPr>
              <w:ind w:left="567" w:hanging="567"/>
              <w:jc w:val="both"/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  <w:t xml:space="preserve">Судебная практика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</w:r>
          </w:p>
        </w:tc>
      </w:tr>
      <w:tr>
        <w:tblPrEx/>
        <w:trPr>
          <w:trHeight w:val="1398"/>
        </w:trPr>
        <w:tc>
          <w:tcPr>
            <w:tcW w:w="468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PT Astra Serif" w:cs="PT Astra Serif"/>
                <w:bCs/>
                <w:i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Определение Верховного Суда Российской Федерации от 08.05.2026 по делу № А51-8986/2023</w:t>
            </w:r>
            <w:r>
              <w:rPr>
                <w:rFonts w:ascii="PT Astra Serif" w:hAnsi="PT Astra Serif" w:eastAsia="PT Astra Serif" w:cs="PT Astra Serif"/>
                <w:bCs/>
                <w:i/>
                <w:sz w:val="26"/>
                <w:szCs w:val="26"/>
                <w:highlight w:val="none"/>
              </w:rPr>
            </w:r>
          </w:p>
        </w:tc>
        <w:tc>
          <w:tcPr>
            <w:tcW w:w="5381" w:type="dxa"/>
            <w:vMerge w:val="restart"/>
            <w:textDirection w:val="lrTb"/>
            <w:noWrap w:val="false"/>
          </w:tcPr>
          <w:p>
            <w:pPr>
              <w:jc w:val="both"/>
              <w:shd w:val="nil"/>
              <w:rPr>
                <w:rFonts w:ascii="PT Astra Serif" w:hAnsi="PT Astra Serif" w:cs="PT Astra Serif"/>
                <w:sz w:val="26"/>
                <w:szCs w:val="26"/>
                <w:highlight w:val="yellow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О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бязательства по оплате выполненных работ Заказчиком возникают при доказанности фактического выполнения и необходимости работ для строительства объекта, даже если спор возник уже после подписания итоговых приемочных документов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yellow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yellow"/>
                <w14:ligatures w14:val="none"/>
              </w:rPr>
            </w:r>
          </w:p>
        </w:tc>
      </w:tr>
      <w:tr>
        <w:tblPrEx/>
        <w:trPr>
          <w:trHeight w:val="1398"/>
        </w:trPr>
        <w:tc>
          <w:tcPr>
            <w:tcW w:w="468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lang w:eastAsia="ru-RU"/>
              </w:rPr>
              <w:t xml:space="preserve">Решение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lang w:eastAsia="ru-RU"/>
              </w:rPr>
              <w:t xml:space="preserve"> Арбитражного суда Забайкальской 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lang w:eastAsia="ru-RU"/>
              </w:rPr>
              <w:t xml:space="preserve">области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lang w:eastAsia="ru-RU"/>
              </w:rPr>
              <w:t xml:space="preserve"> от 27.04.2026 по делу № А78-9533/2025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</w:r>
          </w:p>
        </w:tc>
        <w:tc>
          <w:tcPr>
            <w:tcW w:w="5381" w:type="dxa"/>
            <w:vMerge w:val="restart"/>
            <w:textDirection w:val="lrTb"/>
            <w:noWrap w:val="false"/>
          </w:tcPr>
          <w:p>
            <w:pPr>
              <w:jc w:val="both"/>
              <w:shd w:val="nil" w:color="000000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Суд отказал Прокур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ору в удовлетворении требований о признании недействительными  договоров, так как Заказчик заключил с одним Поставщиком несколько договоров на сумму более 600 000 рублей на поставку товаров функционально не связанных между собой, имеющих разный код ОКПД2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</w:tc>
      </w:tr>
    </w:tbl>
    <w:p>
      <w:pPr>
        <w:jc w:val="both"/>
        <w:spacing w:after="0" w:line="240" w:lineRule="auto"/>
        <w:rPr>
          <w:rFonts w:ascii="PT Astra Serif" w:hAnsi="PT Astra Serif" w:cs="PT Astra Serif"/>
          <w:i/>
          <w:color w:val="000000" w:themeColor="text1"/>
          <w:sz w:val="26"/>
          <w:szCs w:val="26"/>
          <w:highlight w:val="yellow"/>
        </w:rPr>
      </w:pPr>
      <w:r>
        <w:rPr>
          <w:rFonts w:ascii="PT Astra Serif" w:hAnsi="PT Astra Serif" w:cs="PT Astra Serif"/>
          <w:i/>
          <w:color w:val="000000" w:themeColor="text1"/>
          <w:sz w:val="26"/>
          <w:szCs w:val="26"/>
          <w:highlight w:val="yellow"/>
        </w:rPr>
      </w:r>
      <w:r>
        <w:rPr>
          <w:rFonts w:ascii="PT Astra Serif" w:hAnsi="PT Astra Serif" w:cs="PT Astra Serif"/>
          <w:i/>
          <w:color w:val="000000" w:themeColor="text1"/>
          <w:sz w:val="26"/>
          <w:szCs w:val="26"/>
          <w:highlight w:val="yellow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cs="Times New Roman"/>
          <w:i/>
          <w:sz w:val="26"/>
          <w:szCs w:val="26"/>
        </w:rPr>
      </w:pP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</w:rPr>
        <w:t xml:space="preserve">П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</w:rPr>
        <w:t xml:space="preserve">роект Постановления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</w:rPr>
        <w:t xml:space="preserve"> Правительства РФ </w:t>
      </w:r>
      <w:r>
        <w:rPr>
          <w:rFonts w:ascii="PT Astra Serif" w:hAnsi="PT Astra Serif" w:eastAsia="PT Astra Serif" w:cs="Times New Roman"/>
          <w:i/>
          <w:color w:val="000000" w:themeColor="text1"/>
          <w:sz w:val="26"/>
          <w:szCs w:val="26"/>
          <w:shd w:val="clear" w:color="auto" w:fill="ffffff"/>
        </w:rPr>
        <w:t xml:space="preserve">№ </w:t>
      </w:r>
      <w:r>
        <w:rPr>
          <w:rFonts w:ascii="PT Astra Serif" w:hAnsi="PT Astra Serif" w:cs="Times New Roman"/>
          <w:i/>
          <w:sz w:val="26"/>
          <w:szCs w:val="26"/>
        </w:rPr>
        <w:t xml:space="preserve">01/02/04-26/00167083</w:t>
      </w:r>
      <w:r>
        <w:rPr>
          <w:rFonts w:ascii="PT Astra Serif" w:hAnsi="PT Astra Serif" w:cs="Times New Roman"/>
          <w:i/>
          <w:sz w:val="26"/>
          <w:szCs w:val="26"/>
        </w:rPr>
        <w:t xml:space="preserve"> «О признании утратившим силу приказа Министерства строительства и жилищно-коммунального хозяйства Российской Федерации от 18 марта 2021 г. № 160/</w:t>
      </w:r>
      <w:r>
        <w:rPr>
          <w:rFonts w:ascii="PT Astra Serif" w:hAnsi="PT Astra Serif" w:cs="Times New Roman"/>
          <w:i/>
          <w:sz w:val="26"/>
          <w:szCs w:val="26"/>
        </w:rPr>
        <w:t xml:space="preserve">пр</w:t>
      </w:r>
      <w:r>
        <w:rPr>
          <w:rFonts w:ascii="PT Astra Serif" w:hAnsi="PT Astra Serif" w:cs="Times New Roman"/>
          <w:i/>
          <w:sz w:val="26"/>
          <w:szCs w:val="26"/>
        </w:rPr>
        <w:t xml:space="preserve">»</w:t>
      </w:r>
      <w:r>
        <w:rPr>
          <w:rFonts w:ascii="PT Astra Serif" w:hAnsi="PT Astra Serif" w:cs="Times New Roman"/>
          <w:i/>
          <w:sz w:val="26"/>
          <w:szCs w:val="26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Предложено отменить типовые условия контракта н</w:t>
      </w:r>
      <w:r>
        <w:rPr>
          <w:rFonts w:ascii="PT Astra Serif" w:hAnsi="PT Astra Serif"/>
          <w:sz w:val="26"/>
          <w:szCs w:val="26"/>
        </w:rPr>
        <w:t xml:space="preserve">а проведение строительного контроля ФБУ «Федеральный центр строительного контроля» по объектам капитального строительства, финансируемым в рамках госпрограммы «Обеспечение доступным и комфортным жильем и коммунальными услугами граждан Российской Федерации»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  <w:t xml:space="preserve">Предложено признать утратившим силу приказ Министерства строительства и жилищно-коммунального хозяйства Российской Федерации от 18 марта 2021 г. № 160/</w:t>
      </w:r>
      <w:r>
        <w:rPr>
          <w:rFonts w:ascii="PT Astra Serif" w:hAnsi="PT Astra Serif"/>
          <w:sz w:val="26"/>
          <w:szCs w:val="26"/>
        </w:rPr>
        <w:t xml:space="preserve">пр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  <w:t xml:space="preserve">«Об утверждении типовых условий контракта на проведение строительного контроля федеральным бюджетным учреждением «Федеральный центр строительного контроля» по объектам капитального строительства, финансирование (</w:t>
      </w:r>
      <w:r>
        <w:rPr>
          <w:rFonts w:ascii="PT Astra Serif" w:hAnsi="PT Astra Serif"/>
          <w:sz w:val="26"/>
          <w:szCs w:val="26"/>
        </w:rPr>
        <w:t xml:space="preserve">софинансирование</w:t>
      </w:r>
      <w:r>
        <w:rPr>
          <w:rFonts w:ascii="PT Astra Serif" w:hAnsi="PT Astra Serif"/>
          <w:sz w:val="26"/>
          <w:szCs w:val="26"/>
        </w:rPr>
        <w:t xml:space="preserve">) которых осуществляется в соответствии с государственной программой Российской Федерации «Обеспечение доступным и комфортным жильем и коммунальными услугами граждан Российской Федерации», и информационной карты типовых условий контракта».</w:t>
      </w:r>
      <w:bookmarkStart w:id="0" w:name="_GoBack"/>
      <w:r/>
      <w:bookmarkEnd w:id="0"/>
      <w:r>
        <w:rPr>
          <w:rFonts w:ascii="PT Astra Serif" w:hAnsi="PT Astra Serif"/>
          <w:sz w:val="26"/>
          <w:szCs w:val="26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</w:rPr>
        <w:t xml:space="preserve">Проект постановления находится на этапе общественного обсуждения текста.</w:t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  <w:hyperlink r:id="rId12" w:tooltip="https://regulation.gov.ru/projects/167083/" w:history="1">
        <w:r>
          <w:rPr>
            <w:rStyle w:val="908"/>
            <w:rFonts w:ascii="PT Astra Serif" w:hAnsi="PT Astra Serif"/>
            <w:sz w:val="26"/>
            <w:szCs w:val="26"/>
            <w:highlight w:val="none"/>
          </w:rPr>
          <w:t xml:space="preserve">https://regulation.gov.ru/projects/167083/</w:t>
        </w:r>
        <w:r>
          <w:rPr>
            <w:rStyle w:val="908"/>
            <w:rFonts w:ascii="PT Astra Serif" w:hAnsi="PT Astra Serif"/>
            <w:sz w:val="26"/>
            <w:szCs w:val="26"/>
            <w:highlight w:val="none"/>
          </w:rPr>
        </w:r>
        <w:r>
          <w:rPr>
            <w:rStyle w:val="908"/>
            <w:rFonts w:ascii="PT Astra Serif" w:hAnsi="PT Astra Serif"/>
            <w:sz w:val="26"/>
            <w:szCs w:val="26"/>
            <w:highlight w:val="none"/>
          </w:rPr>
        </w:r>
      </w:hyperlink>
      <w:r>
        <w:rPr>
          <w:rFonts w:ascii="PT Astra Serif" w:hAnsi="PT Astra Serif"/>
          <w:sz w:val="26"/>
          <w:szCs w:val="26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/>
          <w:bCs/>
          <w:i/>
          <w:sz w:val="26"/>
          <w:szCs w:val="26"/>
          <w:highlight w:val="none"/>
        </w:rPr>
      </w:pPr>
      <w:r>
        <w:rPr>
          <w:rFonts w:ascii="PT Astra Serif" w:hAnsi="PT Astra Serif"/>
          <w:i/>
          <w:iCs/>
          <w:sz w:val="26"/>
          <w:szCs w:val="26"/>
          <w:highlight w:val="none"/>
        </w:rPr>
        <w:t xml:space="preserve">Определение Верховного Суда Российской Федерации от 08.05.2026 по делу № А51-8986/2023</w:t>
      </w:r>
      <w:r>
        <w:rPr>
          <w:rFonts w:ascii="PT Astra Serif" w:hAnsi="PT Astra Serif"/>
          <w:i/>
          <w:iCs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after="0" w:line="240" w:lineRule="auto"/>
        <w:rPr>
          <w:rFonts w:ascii="PT Astra Serif" w:hAnsi="PT Astra Serif" w:cs="PT Astra Serif"/>
          <w:bCs w:val="0"/>
          <w:i w:val="0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Заявитель: Учреждение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after="0" w:line="240" w:lineRule="auto"/>
        <w:rPr>
          <w:rFonts w:ascii="PT Astra Serif" w:hAnsi="PT Astra Serif" w:cs="PT Astra Serif"/>
          <w:bCs w:val="0"/>
          <w:i w:val="0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Между Учреждением и Обществом заключен Контракт на реконструкцию объекта капитального строительства.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after="0" w:line="240" w:lineRule="auto"/>
        <w:rPr>
          <w:rFonts w:ascii="PT Astra Serif" w:hAnsi="PT Astra Serif" w:cs="PT Astra Serif"/>
          <w:bCs w:val="0"/>
          <w:i w:val="0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В соответствии с пунктом 2.1 Контракта цена Контракта является твердой, не п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одлежит дальнейшей инде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ксации, определяется на весь срок исполнения контракта 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составляет 227 025 672 руб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.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after="0" w:line="240" w:lineRule="auto"/>
        <w:rPr>
          <w:rFonts w:ascii="PT Astra Serif" w:hAnsi="PT Astra Serif" w:cs="PT Astra Serif"/>
          <w:bCs w:val="0"/>
          <w:i w:val="0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В соответствии с пунктом 179 Методики определения сметной стоимости, утвержденной приказом Министерства строительства и жилищно-коммунального хозяйства Российской Федерации № 421/пр от 04.08.2020 в стоимость работ также заложены непредвиденные затраты в размерах, не превышающих 2% от стоимости выполненных работ – для объектов капитального строительства непроизводственного назначения.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after="0" w:line="240" w:lineRule="auto"/>
        <w:rPr>
          <w:rFonts w:ascii="PT Astra Serif" w:hAnsi="PT Astra Serif" w:cs="PT Astra Serif"/>
          <w:bCs w:val="0"/>
          <w:i w:val="0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Актом по форме КС-11 от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22.12.2021, разрешением на ввод объекта в эксплуатацию от 27.12.2021, записью из Единого государственного реестра недвижимости об объекте недвижимости от 10.01.2022 подтверждается, что Общество выполнило обязательства по ко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нтракту перед Учреждением надлежащим образом, объект введен в эксплуатацию.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Общество выполнило работы,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предусмотренные Контрактом стоимостью 204 642 422 руб. 13 коп., что подтверждается подписанным сторонами без оговорок и замечаний актом приемки законченного строительством объекта по форме КС-11 № 1-А от 22.12.2021, соответственно Контракт прекращен, несмо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тря на выполнение работ меньшей стоимостью.</w:t>
      </w:r>
      <w:r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На момент подписания Учреждением акта КС-11 приняты и оплачены все фактически выполненные Обществом работы на сумму в размере 204 642 422 руб. 13 коп. Сведения о стоимости выполненных работ также отображены в акте КС-11 и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подтверждаются подписью генерального директора Общества.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contextualSpacing w:val="0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Общество письмом от 27.03.2023 направило в адрес Учреждения документы на сдачу приемку и оплату выполненных работ, среди которых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счет на оплату на сумму 10 839 748 руб. 81 коп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Впоследствии в связи с наличием технической ошибки в одном из документов Общество письмом от 26.04.2023 направило в адрес Учреждения документы на сдачу приемку и оплату выполненных работ на сумму 11 965 798 руб. 81 коп.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Учреждение ответным письмом от 12.05.2023 отказало в приемке и оплате фактически выполненных Обществом работ по Контракту (спорным актам), что послужило основанием для обращения Общества в арбитражный суд с исковым заявлением о взыскании задолженности по Контракту.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В свою очередь Учреждение обратилось со встречным исковым заявлением о взыскании с Общества 1 686 016 руб. 26 коп. неосновательного обогащения.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Суд первой инстанции установив фактическое выполнение работ по Контракту, учитывая выводы, содержащиеся в заключении судебной экспертизы, а также то, что спорные работы являются дополнительными, не предусмотренными условиями Контракта, не согласованы к вып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олнению Учреждением, принимая во внимание, что предусмотренное Контрактом финансирование на непредвиденные работы исчерпано, отказал в удовлетворении требований Общества об оплате стоимости дополнительных работ по Контракту.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Суд апелляционной инстанции, повторно рассмотрев настоящий спор по существу, не согласившись с выводами суда первой инстанции (по первоначальным исковым требованиям), изменил решение, указав, что в случае, если заказчик правомерно согласовал действия по проведению дополнительных работ, необходимых для завершения технологического цикла и обеспечения годности и прочности их результата, последующий отказ в оплате дополнительных работ не допускается. Иное бы противоречило требованию добросовестного исполнения обязательства.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Судом установлено, что в подтверждение факта согласования необходимости выполнения спорных работ по Контракту Обществом представлены письма в период с 2019 по 2022 годы, заключение по конструктивным и объемно-планировочным решениям, акты на выполненные работы, подписанные со стороны Общества 2 (субподрядчик) и Учреждения и протоколы комиссионного осмотра, из которых следует, что между Учреждением и Обществом велась переписка по согласованию необходимости выполнения дополнительных работ по Контракту.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Также указанными документами подтверждается, что Учреждение согласовало, а Общество 2 выполнило в полном объеме необходимые работы.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Поскольку в сводный сметный расчет стоимости строительства включается резерв средств на непредвиденные работы и затраты, предназначенный для возмещения стоимости работ и затрат, потребность в которых возникает в процессе разработки рабочей документации или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в ходе строительства в результате уточнения проектных решений или условий строительства в отношении объектов, предусмотренных в утвержденном проекте, в то время как спорные работы утвержденным проектом не были предусмотрены, потому и в резерв средств на н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епредвиденные работы и затраты сводного сметного расчета они не включались и, согласно пункту 4.97 МДС 81.35-2004 должны включаться по отдельному расчету, увеличивающему итоговые показатели стоимости строительства всего объеме, а не за счет уже учтенного р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езерва средств на непредвиденные работы и затраты.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Принимая во внимание вышеизложенное, суд апелляционной инстанции, установив, что работы на сумму 2 667 123 руб. 65 коп. являются основными, предусмотрены технической документацией и сметами к Контракту, а работы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на сумму 8 172 625 руб. 17 коп. не предусмотренные Контрактом, но являются дополнительными и необходимыми для реконструкции объекта капитального строительства и последующей сдачи его в эксплуатацию, а также уста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новив факт согласования Учреждением необходимости выполнения спорных дополнительных работ, пришел к выводу о наличии оснований для удовлетворения исковых требований Общества к Учреждению о взыскании 10 839 748 руб.82 коп. в полном объеме.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after="0" w:line="240" w:lineRule="auto"/>
        <w:rPr>
          <w:rFonts w:ascii="PT Astra Serif" w:hAnsi="PT Astra Serif" w:eastAsia="PT Astra Serif" w:cs="PT Astra Serif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Суды вышестоящих инстанций поддержали вывод суда апелляционной инстанции. Верховный Суд Российской Федерации отказал в передаче кассационной жалобы для рассмотрения в судебном заседании Судебной коллегии по экономическим спорам Верховного Суда Российской Федерации.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none"/>
        </w:rPr>
        <w:suppressLineNumbers w:val="0"/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/>
        <w:rPr>
          <w:rFonts w:ascii="PT Astra Serif" w:hAnsi="PT Astra Serif" w:cs="PT Astra Serif"/>
          <w:i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/>
          <w:iCs/>
          <w:sz w:val="26"/>
          <w:szCs w:val="26"/>
          <w:lang w:eastAsia="ru-RU"/>
        </w:rPr>
        <w:t xml:space="preserve">Решение</w:t>
      </w:r>
      <w:r>
        <w:rPr>
          <w:rFonts w:ascii="PT Astra Serif" w:hAnsi="PT Astra Serif" w:eastAsia="PT Astra Serif" w:cs="PT Astra Serif"/>
          <w:i/>
          <w:iCs/>
          <w:sz w:val="26"/>
          <w:szCs w:val="26"/>
          <w:lang w:eastAsia="ru-RU"/>
        </w:rPr>
        <w:t xml:space="preserve"> Арбитражного суда Забайкальской </w:t>
      </w:r>
      <w:r>
        <w:rPr>
          <w:rFonts w:ascii="PT Astra Serif" w:hAnsi="PT Astra Serif" w:eastAsia="PT Astra Serif" w:cs="PT Astra Serif"/>
          <w:i/>
          <w:iCs/>
          <w:sz w:val="26"/>
          <w:szCs w:val="26"/>
          <w:lang w:eastAsia="ru-RU"/>
        </w:rPr>
        <w:t xml:space="preserve">области</w:t>
      </w:r>
      <w:r>
        <w:rPr>
          <w:rFonts w:ascii="PT Astra Serif" w:hAnsi="PT Astra Serif" w:eastAsia="PT Astra Serif" w:cs="PT Astra Serif"/>
          <w:i/>
          <w:iCs/>
          <w:sz w:val="26"/>
          <w:szCs w:val="26"/>
          <w:lang w:eastAsia="ru-RU"/>
        </w:rPr>
        <w:t xml:space="preserve"> от 27.04.2026 по делу № А78-9533/2025 </w:t>
      </w:r>
      <w:r>
        <w:rPr>
          <w:rFonts w:ascii="PT Astra Serif" w:hAnsi="PT Astra Serif" w:eastAsia="PT Astra Serif" w:cs="PT Astra Serif"/>
          <w:i/>
          <w:iCs/>
          <w:sz w:val="26"/>
          <w:szCs w:val="26"/>
        </w:rPr>
      </w:r>
      <w:r>
        <w:rPr>
          <w:rFonts w:ascii="PT Astra Serif" w:hAnsi="PT Astra Serif" w:eastAsia="PT Astra Serif" w:cs="PT Astra Serif"/>
          <w:i/>
          <w:iCs/>
          <w:sz w:val="26"/>
          <w:szCs w:val="26"/>
          <w:lang w:eastAsia="ru-RU"/>
        </w:rPr>
      </w:r>
    </w:p>
    <w:p>
      <w:pPr>
        <w:contextualSpacing w:val="0"/>
        <w:ind w:firstLine="709"/>
        <w:jc w:val="both"/>
        <w:spacing w:before="0" w:after="0" w:line="276" w:lineRule="auto"/>
        <w:shd w:val="nil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Заявитель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: Заместитель прокурора Забайкальского края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(далее – Прокурор)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lang w:eastAsia="ru-RU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  <w:lang w:eastAsia="ru-RU"/>
        </w:rPr>
      </w:r>
    </w:p>
    <w:p>
      <w:pPr>
        <w:contextualSpacing w:val="0"/>
        <w:ind w:firstLine="709"/>
        <w:jc w:val="both"/>
        <w:spacing w:before="0" w:after="0" w:line="276" w:lineRule="auto"/>
        <w:shd w:val="nil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Между Учреждением и Обществом заключены договоры  (3 шт.) на поставку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интерактивной панели, проектора и активной акустической системы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 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contextualSpacing w:val="0"/>
        <w:ind w:firstLine="709"/>
        <w:jc w:val="both"/>
        <w:spacing w:before="0" w:after="0" w:line="276" w:lineRule="auto"/>
        <w:shd w:val="nil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Полагая, что  заключенные договоры по сути образуют единую сделку, но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искусственно раздроблены и оформлены самостоятельными договорами для формального соблюдения Закона № 44-ФЗ,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Прокурор обратился в арбитражный суд с иском.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Суд, отказывая в требованиях Прокурора, исходил из следующего.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Согласно пунктам 13 и 14 статьи 22 Закона № 44-ФЗ, идентичными признаются ТРУ, имеющие одинаковые основные характерист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ики и незначительные отличия во внешнем виде.  Определение идентичности ТРУ, а также сравнение условий их поставки, выполнения или оказания осуществляется в соответствии с методическими рекомендациями пункта 17 статьи 22 Закона № 44-ФЗ.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Товары считаются однородными, если они не являются идентичными, но имеют сходные характеристики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и состоят из аналогичных компонентов, что позволяет им выполнять одинаковые функции и быть коммерчески взаимозаменяемыми. При оценке однородности товаров учитываются их качество, репу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тация на рынке и страна происхождения.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Рабо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ты и услуги признаются однородными, если, не будучи идентичными, они имеют сходные характеристики, и это делает их коммерчески и (или) функционально взаимозаменяемыми.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Поставленные Учреж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дению товары, исходя из их функционально-эксплуатационных характеристик, не могут выполнять одни и те же функции или быть взаимозаменяемыми. Товары не являются частями одной сложной вещи,  так как могут использоваться отдельно друг от друга.  Товары не явл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яются идентичными или однородными, имеют разные коды ОКПД2, различные основные, технические, качественные и эксплуатационные характеристики, не состоят из схожих компонентов, что не позволяет им достигать одни и те же цели и (или) быть взаимозаменяемыми. 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Также объединение в один лот функционально различных товаров привело бы к ограничению конкуренции.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Интера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ктивная панель имела код 26.20.13.000 - «Машины вычислительные электронные цифровые, содержащие в одном корпусе центральный процессор и устройство ввода и вывода, объединенные или нет для автоматической обработки данных; лазерный проектор - 26.20.17.120. А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кустическая система,  имела ОКПД 26.40.24.110 (громкоговорители) и  входит в пункт 237 «Аппаратура для воспроизведения звука прочая 26.40.31.190» Приложения № 2 к Постановление № 1875.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В соответствии с абзацем  10 подпункта «г» пункта 4 Постановления № 1875 определено, что при осуществлении закупок в соответствии с Законом № 44-ФЗ не могут быть включены в предмет одного контракта (лота), одного догово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ра (лота) товары, указанные в позиции 237 Приложения № 2 к Постановлению № 1875, громкоговорители, усилители электрических частот, установки электрических усилителей звука, соответствующие кодам 26.40.24.110, 26.40.43.110, 26.40.43.120 с другими товарами.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Таким образом, заключенные договоры не являются единой сделкой, раздробленной на несколько частей с целью обойти требования Закона № 44-ФЗ.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76" w:lineRule="auto"/>
        <w:shd w:val="nil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Доказательств того, что Общество получило доступ к выполнению работ, оказанию услуг без конкурентной борьбы и предоставлено преимущественное положение, суду не представлено.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ind w:firstLine="709"/>
        <w:jc w:val="both"/>
        <w:spacing w:after="0" w:line="240" w:lineRule="auto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firstLine="709"/>
        <w:jc w:val="both"/>
        <w:spacing w:after="0" w:line="240" w:lineRule="auto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/>
          <w:bCs w:val="0"/>
          <w:i w:val="0"/>
          <w:sz w:val="26"/>
          <w:szCs w:val="26"/>
          <w:highlight w:val="none"/>
        </w:rPr>
      </w:pPr>
      <w:r>
        <w:rPr>
          <w:rFonts w:ascii="PT Astra Serif" w:hAnsi="PT Astra Serif"/>
          <w:i w:val="0"/>
          <w:iCs w:val="0"/>
          <w:sz w:val="26"/>
          <w:szCs w:val="26"/>
          <w:highlight w:val="none"/>
        </w:rPr>
      </w:r>
      <w:r>
        <w:rPr>
          <w:rFonts w:ascii="PT Astra Serif" w:hAnsi="PT Astra Serif"/>
          <w:i w:val="0"/>
          <w:iCs w:val="0"/>
          <w:sz w:val="26"/>
          <w:szCs w:val="26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/>
          <w:bCs/>
          <w:i/>
          <w:sz w:val="26"/>
          <w:szCs w:val="26"/>
        </w:rPr>
      </w:pPr>
      <w:r>
        <w:rPr>
          <w:rFonts w:ascii="PT Astra Serif" w:hAnsi="PT Astra Serif"/>
          <w:i/>
          <w:iCs/>
          <w:sz w:val="26"/>
          <w:szCs w:val="26"/>
          <w:highlight w:val="none"/>
        </w:rPr>
      </w:r>
      <w:r>
        <w:rPr>
          <w:rFonts w:ascii="PT Astra Serif" w:hAnsi="PT Astra Serif"/>
          <w:i/>
          <w:iCs/>
          <w:sz w:val="26"/>
          <w:szCs w:val="26"/>
          <w:highlight w:val="none"/>
        </w:rPr>
      </w:r>
    </w:p>
    <w:p>
      <w:pPr>
        <w:ind w:firstLine="709"/>
        <w:jc w:val="both"/>
        <w:spacing w:after="0" w:line="240" w:lineRule="auto"/>
      </w:pPr>
      <w:r/>
      <w:r/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6" w:h="16838" w:orient="portrait"/>
      <w:pgMar w:top="1134" w:right="567" w:bottom="1134" w:left="1134" w:header="709" w:footer="709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603040505020204"/>
  </w:font>
  <w:font w:name="Roboto">
    <w:panose1 w:val="02000000000000000000"/>
  </w:font>
  <w:font w:name="Courier New">
    <w:panose1 w:val="02070309020205020404"/>
  </w:font>
  <w:font w:name="Symbol">
    <w:panose1 w:val="05050102010706020507"/>
  </w:font>
  <w:font w:name="Wingdings">
    <w:panose1 w:val="05000000000000000000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6"/>
      <w:jc w:val="center"/>
      <w:rPr>
        <w:rFonts w:ascii="PT Astra Serif" w:hAnsi="PT Astra Serif" w:cs="PT Astra Serif"/>
      </w:rPr>
    </w:pPr>
    <w:r>
      <w:rPr>
        <w:rFonts w:ascii="PT Astra Serif" w:hAnsi="PT Astra Serif" w:eastAsia="PT Astra Serif" w:cs="PT Astra Serif"/>
      </w:rPr>
      <w:fldChar w:fldCharType="begin"/>
    </w:r>
    <w:r>
      <w:rPr>
        <w:rFonts w:ascii="PT Astra Serif" w:hAnsi="PT Astra Serif" w:eastAsia="PT Astra Serif" w:cs="PT Astra Serif"/>
      </w:rPr>
      <w:instrText xml:space="preserve">PAGE \* MERGEFORMAT</w:instrText>
    </w:r>
    <w:r>
      <w:rPr>
        <w:rFonts w:ascii="PT Astra Serif" w:hAnsi="PT Astra Serif" w:eastAsia="PT Astra Serif" w:cs="PT Astra Serif"/>
      </w:rPr>
      <w:fldChar w:fldCharType="separate"/>
    </w:r>
    <w:r>
      <w:rPr>
        <w:rFonts w:ascii="PT Astra Serif" w:hAnsi="PT Astra Serif" w:eastAsia="PT Astra Serif" w:cs="PT Astra Serif"/>
      </w:rPr>
      <w:t xml:space="preserve">2</w:t>
    </w:r>
    <w:r>
      <w:rPr>
        <w:rFonts w:ascii="PT Astra Serif" w:hAnsi="PT Astra Serif" w:eastAsia="PT Astra Serif" w:cs="PT Astra Serif"/>
      </w:rPr>
      <w:fldChar w:fldCharType="end"/>
    </w:r>
    <w:r>
      <w:rPr>
        <w:rFonts w:ascii="PT Astra Serif" w:hAnsi="PT Astra Serif" w:cs="PT Astra Serif"/>
      </w:rPr>
    </w:r>
  </w:p>
  <w:p>
    <w:pPr>
      <w:pStyle w:val="776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80808"/>
        <w:spacing w:val="-5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80808"/>
        <w:spacing w:val="-5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80808"/>
        <w:spacing w:val="-5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80808"/>
        <w:spacing w:val="-5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80808"/>
        <w:spacing w:val="-5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80808"/>
        <w:spacing w:val="-5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80808"/>
        <w:spacing w:val="-5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80808"/>
        <w:spacing w:val="-5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80808"/>
        <w:spacing w:val="-5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1c1c21"/>
        <w:spacing w:val="10"/>
        <w:sz w:val="24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1c1c21"/>
        <w:spacing w:val="10"/>
        <w:sz w:val="24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276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1322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042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62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82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02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922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42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62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82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276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1c1c21"/>
        <w:spacing w:val="10"/>
        <w:sz w:val="24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80808"/>
        <w:spacing w:val="-5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80808"/>
        <w:spacing w:val="-5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80808"/>
        <w:spacing w:val="-5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80808"/>
        <w:spacing w:val="-5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80808"/>
        <w:spacing w:val="-5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80808"/>
        <w:spacing w:val="-5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80808"/>
        <w:spacing w:val="-5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80808"/>
        <w:spacing w:val="-5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80808"/>
        <w:spacing w:val="-5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709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357" w:hanging="357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Roboto" w:hAnsi="Roboto" w:eastAsia="Roboto" w:cs="Roboto"/>
        <w:color w:val="1c1c21"/>
        <w:spacing w:val="1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276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709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709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276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276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num w:numId="1">
    <w:abstractNumId w:val="14"/>
  </w:num>
  <w:num w:numId="2">
    <w:abstractNumId w:val="7"/>
  </w:num>
  <w:num w:numId="3">
    <w:abstractNumId w:val="23"/>
  </w:num>
  <w:num w:numId="4">
    <w:abstractNumId w:val="25"/>
  </w:num>
  <w:num w:numId="5">
    <w:abstractNumId w:val="17"/>
  </w:num>
  <w:num w:numId="6">
    <w:abstractNumId w:val="3"/>
  </w:num>
  <w:num w:numId="7">
    <w:abstractNumId w:val="16"/>
  </w:num>
  <w:num w:numId="8">
    <w:abstractNumId w:val="4"/>
  </w:num>
  <w:num w:numId="9">
    <w:abstractNumId w:val="22"/>
  </w:num>
  <w:num w:numId="10">
    <w:abstractNumId w:val="19"/>
  </w:num>
  <w:num w:numId="11">
    <w:abstractNumId w:val="18"/>
  </w:num>
  <w:num w:numId="12">
    <w:abstractNumId w:val="24"/>
  </w:num>
  <w:num w:numId="13">
    <w:abstractNumId w:val="20"/>
  </w:num>
  <w:num w:numId="14">
    <w:abstractNumId w:val="5"/>
  </w:num>
  <w:num w:numId="15">
    <w:abstractNumId w:val="13"/>
  </w:num>
  <w:num w:numId="16">
    <w:abstractNumId w:val="21"/>
  </w:num>
  <w:num w:numId="17">
    <w:abstractNumId w:val="1"/>
  </w:num>
  <w:num w:numId="18">
    <w:abstractNumId w:val="0"/>
  </w:num>
  <w:num w:numId="19">
    <w:abstractNumId w:val="8"/>
  </w:num>
  <w:num w:numId="20">
    <w:abstractNumId w:val="9"/>
  </w:num>
  <w:num w:numId="21">
    <w:abstractNumId w:val="11"/>
  </w:num>
  <w:num w:numId="22">
    <w:abstractNumId w:val="12"/>
  </w:num>
  <w:num w:numId="23">
    <w:abstractNumId w:val="10"/>
  </w:num>
  <w:num w:numId="24">
    <w:abstractNumId w:val="2"/>
  </w:num>
  <w:num w:numId="25">
    <w:abstractNumId w:val="6"/>
  </w:num>
  <w:num w:numId="26">
    <w:abstractNumId w:val="15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756"/>
    <w:link w:val="747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756"/>
    <w:link w:val="748"/>
    <w:uiPriority w:val="9"/>
    <w:rPr>
      <w:rFonts w:ascii="Liberation Sans" w:hAnsi="Liberation Sans" w:eastAsia="Liberation Sans" w:cs="Liberation Sans"/>
      <w:sz w:val="34"/>
    </w:rPr>
  </w:style>
  <w:style w:type="character" w:styleId="19">
    <w:name w:val="Heading 3 Char"/>
    <w:basedOn w:val="756"/>
    <w:link w:val="74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756"/>
    <w:link w:val="75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3">
    <w:name w:val="Heading 5 Char"/>
    <w:basedOn w:val="756"/>
    <w:link w:val="75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5">
    <w:name w:val="Heading 6 Char"/>
    <w:basedOn w:val="756"/>
    <w:link w:val="75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7">
    <w:name w:val="Heading 7 Char"/>
    <w:basedOn w:val="756"/>
    <w:link w:val="75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9">
    <w:name w:val="Heading 8 Char"/>
    <w:basedOn w:val="756"/>
    <w:link w:val="75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1">
    <w:name w:val="Heading 9 Char"/>
    <w:basedOn w:val="756"/>
    <w:link w:val="75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6">
    <w:name w:val="Title Char"/>
    <w:basedOn w:val="756"/>
    <w:link w:val="768"/>
    <w:uiPriority w:val="10"/>
    <w:rPr>
      <w:sz w:val="48"/>
      <w:szCs w:val="48"/>
    </w:rPr>
  </w:style>
  <w:style w:type="character" w:styleId="38">
    <w:name w:val="Subtitle Char"/>
    <w:basedOn w:val="756"/>
    <w:link w:val="770"/>
    <w:uiPriority w:val="11"/>
    <w:rPr>
      <w:sz w:val="24"/>
      <w:szCs w:val="24"/>
    </w:rPr>
  </w:style>
  <w:style w:type="character" w:styleId="40">
    <w:name w:val="Quote Char"/>
    <w:link w:val="772"/>
    <w:uiPriority w:val="29"/>
    <w:rPr>
      <w:i/>
    </w:rPr>
  </w:style>
  <w:style w:type="character" w:styleId="42">
    <w:name w:val="Intense Quote Char"/>
    <w:link w:val="774"/>
    <w:uiPriority w:val="30"/>
    <w:rPr>
      <w:i/>
    </w:rPr>
  </w:style>
  <w:style w:type="character" w:styleId="44">
    <w:name w:val="Header Char"/>
    <w:basedOn w:val="756"/>
    <w:link w:val="776"/>
    <w:uiPriority w:val="99"/>
  </w:style>
  <w:style w:type="character" w:styleId="46">
    <w:name w:val="Footer Char"/>
    <w:basedOn w:val="756"/>
    <w:link w:val="778"/>
    <w:uiPriority w:val="99"/>
  </w:style>
  <w:style w:type="character" w:styleId="48">
    <w:name w:val="Caption Char"/>
    <w:basedOn w:val="756"/>
    <w:link w:val="780"/>
    <w:uiPriority w:val="35"/>
    <w:rPr>
      <w:b/>
      <w:bCs/>
      <w:color w:val="4f81bd" w:themeColor="accent1"/>
      <w:sz w:val="18"/>
      <w:szCs w:val="18"/>
    </w:rPr>
  </w:style>
  <w:style w:type="character" w:styleId="177">
    <w:name w:val="Footnote Text Char"/>
    <w:link w:val="909"/>
    <w:uiPriority w:val="99"/>
    <w:rPr>
      <w:sz w:val="18"/>
    </w:rPr>
  </w:style>
  <w:style w:type="character" w:styleId="180">
    <w:name w:val="Endnote Text Char"/>
    <w:link w:val="912"/>
    <w:uiPriority w:val="99"/>
    <w:rPr>
      <w:sz w:val="20"/>
    </w:rPr>
  </w:style>
  <w:style w:type="paragraph" w:styleId="746" w:default="1">
    <w:name w:val="Normal"/>
    <w:qFormat/>
  </w:style>
  <w:style w:type="paragraph" w:styleId="747">
    <w:name w:val="Heading 1"/>
    <w:basedOn w:val="746"/>
    <w:next w:val="746"/>
    <w:link w:val="759"/>
    <w:uiPriority w:val="9"/>
    <w:qFormat/>
    <w:pPr>
      <w:keepLines/>
      <w:keepNext/>
      <w:spacing w:before="48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48">
    <w:name w:val="Heading 2"/>
    <w:basedOn w:val="746"/>
    <w:next w:val="746"/>
    <w:link w:val="760"/>
    <w:uiPriority w:val="9"/>
    <w:unhideWhenUsed/>
    <w:qFormat/>
    <w:pPr>
      <w:keepLines/>
      <w:keepNext/>
      <w:spacing w:before="360"/>
      <w:outlineLvl w:val="1"/>
    </w:pPr>
    <w:rPr>
      <w:rFonts w:ascii="Liberation Sans" w:hAnsi="Liberation Sans" w:eastAsia="Liberation Sans" w:cs="Liberation Sans"/>
      <w:sz w:val="34"/>
    </w:rPr>
  </w:style>
  <w:style w:type="paragraph" w:styleId="749">
    <w:name w:val="Heading 3"/>
    <w:basedOn w:val="746"/>
    <w:next w:val="746"/>
    <w:link w:val="761"/>
    <w:uiPriority w:val="9"/>
    <w:unhideWhenUsed/>
    <w:qFormat/>
    <w:pPr>
      <w:keepLines/>
      <w:keepNext/>
      <w:spacing w:before="32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50">
    <w:name w:val="Heading 4"/>
    <w:basedOn w:val="746"/>
    <w:next w:val="746"/>
    <w:link w:val="762"/>
    <w:uiPriority w:val="9"/>
    <w:unhideWhenUsed/>
    <w:qFormat/>
    <w:pPr>
      <w:keepLines/>
      <w:keepNext/>
      <w:spacing w:before="32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51">
    <w:name w:val="Heading 5"/>
    <w:basedOn w:val="746"/>
    <w:next w:val="746"/>
    <w:link w:val="763"/>
    <w:uiPriority w:val="9"/>
    <w:unhideWhenUsed/>
    <w:qFormat/>
    <w:pPr>
      <w:keepLines/>
      <w:keepNext/>
      <w:spacing w:before="32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52">
    <w:name w:val="Heading 6"/>
    <w:basedOn w:val="746"/>
    <w:next w:val="746"/>
    <w:link w:val="764"/>
    <w:uiPriority w:val="9"/>
    <w:unhideWhenUsed/>
    <w:qFormat/>
    <w:pPr>
      <w:keepLines/>
      <w:keepNext/>
      <w:spacing w:before="32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53">
    <w:name w:val="Heading 7"/>
    <w:basedOn w:val="746"/>
    <w:next w:val="746"/>
    <w:link w:val="765"/>
    <w:uiPriority w:val="9"/>
    <w:unhideWhenUsed/>
    <w:qFormat/>
    <w:pPr>
      <w:keepLines/>
      <w:keepNext/>
      <w:spacing w:before="32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54">
    <w:name w:val="Heading 8"/>
    <w:basedOn w:val="746"/>
    <w:next w:val="746"/>
    <w:link w:val="766"/>
    <w:uiPriority w:val="9"/>
    <w:unhideWhenUsed/>
    <w:qFormat/>
    <w:pPr>
      <w:keepLines/>
      <w:keepNext/>
      <w:spacing w:before="32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55">
    <w:name w:val="Heading 9"/>
    <w:basedOn w:val="746"/>
    <w:next w:val="746"/>
    <w:link w:val="767"/>
    <w:uiPriority w:val="9"/>
    <w:unhideWhenUsed/>
    <w:qFormat/>
    <w:pPr>
      <w:keepLines/>
      <w:keepNext/>
      <w:spacing w:before="32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6" w:default="1">
    <w:name w:val="Default Paragraph Font"/>
    <w:uiPriority w:val="1"/>
    <w:semiHidden/>
    <w:unhideWhenUsed/>
  </w:style>
  <w:style w:type="table" w:styleId="75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8" w:default="1">
    <w:name w:val="No List"/>
    <w:uiPriority w:val="99"/>
    <w:semiHidden/>
    <w:unhideWhenUsed/>
  </w:style>
  <w:style w:type="character" w:styleId="759" w:customStyle="1">
    <w:name w:val="Заголовок 1 Знак"/>
    <w:link w:val="747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60" w:customStyle="1">
    <w:name w:val="Заголовок 2 Знак"/>
    <w:link w:val="748"/>
    <w:uiPriority w:val="9"/>
    <w:rPr>
      <w:rFonts w:ascii="Liberation Sans" w:hAnsi="Liberation Sans" w:eastAsia="Liberation Sans" w:cs="Liberation Sans"/>
      <w:sz w:val="34"/>
    </w:rPr>
  </w:style>
  <w:style w:type="character" w:styleId="761" w:customStyle="1">
    <w:name w:val="Заголовок 3 Знак"/>
    <w:link w:val="74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62" w:customStyle="1">
    <w:name w:val="Заголовок 4 Знак"/>
    <w:link w:val="75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63" w:customStyle="1">
    <w:name w:val="Заголовок 5 Знак"/>
    <w:link w:val="75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64" w:customStyle="1">
    <w:name w:val="Заголовок 6 Знак"/>
    <w:link w:val="75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65" w:customStyle="1">
    <w:name w:val="Заголовок 7 Знак"/>
    <w:link w:val="75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66" w:customStyle="1">
    <w:name w:val="Заголовок 8 Знак"/>
    <w:link w:val="75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67" w:customStyle="1">
    <w:name w:val="Заголовок 9 Знак"/>
    <w:link w:val="75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68">
    <w:name w:val="Title"/>
    <w:basedOn w:val="746"/>
    <w:next w:val="746"/>
    <w:link w:val="769"/>
    <w:uiPriority w:val="10"/>
    <w:qFormat/>
    <w:pPr>
      <w:contextualSpacing/>
      <w:spacing w:before="300"/>
    </w:pPr>
    <w:rPr>
      <w:sz w:val="48"/>
      <w:szCs w:val="48"/>
    </w:rPr>
  </w:style>
  <w:style w:type="character" w:styleId="769" w:customStyle="1">
    <w:name w:val="Название Знак"/>
    <w:link w:val="768"/>
    <w:uiPriority w:val="10"/>
    <w:rPr>
      <w:sz w:val="48"/>
      <w:szCs w:val="48"/>
    </w:rPr>
  </w:style>
  <w:style w:type="paragraph" w:styleId="770">
    <w:name w:val="Subtitle"/>
    <w:basedOn w:val="746"/>
    <w:next w:val="746"/>
    <w:link w:val="771"/>
    <w:uiPriority w:val="11"/>
    <w:qFormat/>
    <w:pPr>
      <w:spacing w:before="200"/>
    </w:pPr>
    <w:rPr>
      <w:sz w:val="24"/>
      <w:szCs w:val="24"/>
    </w:rPr>
  </w:style>
  <w:style w:type="character" w:styleId="771" w:customStyle="1">
    <w:name w:val="Подзаголовок Знак"/>
    <w:link w:val="770"/>
    <w:uiPriority w:val="11"/>
    <w:rPr>
      <w:sz w:val="24"/>
      <w:szCs w:val="24"/>
    </w:rPr>
  </w:style>
  <w:style w:type="paragraph" w:styleId="772">
    <w:name w:val="Quote"/>
    <w:basedOn w:val="746"/>
    <w:next w:val="746"/>
    <w:link w:val="773"/>
    <w:uiPriority w:val="29"/>
    <w:qFormat/>
    <w:pPr>
      <w:ind w:left="720" w:right="720"/>
    </w:pPr>
    <w:rPr>
      <w:i/>
    </w:rPr>
  </w:style>
  <w:style w:type="character" w:styleId="773" w:customStyle="1">
    <w:name w:val="Цитата 2 Знак"/>
    <w:link w:val="772"/>
    <w:uiPriority w:val="29"/>
    <w:rPr>
      <w:i/>
    </w:rPr>
  </w:style>
  <w:style w:type="paragraph" w:styleId="774">
    <w:name w:val="Intense Quote"/>
    <w:basedOn w:val="746"/>
    <w:next w:val="746"/>
    <w:link w:val="77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5" w:customStyle="1">
    <w:name w:val="Выделенная цитата Знак"/>
    <w:link w:val="774"/>
    <w:uiPriority w:val="30"/>
    <w:rPr>
      <w:i/>
    </w:rPr>
  </w:style>
  <w:style w:type="paragraph" w:styleId="776">
    <w:name w:val="Header"/>
    <w:basedOn w:val="746"/>
    <w:link w:val="77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77" w:customStyle="1">
    <w:name w:val="Верхний колонтитул Знак"/>
    <w:link w:val="776"/>
    <w:uiPriority w:val="99"/>
  </w:style>
  <w:style w:type="paragraph" w:styleId="778">
    <w:name w:val="Footer"/>
    <w:basedOn w:val="746"/>
    <w:link w:val="77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79" w:customStyle="1">
    <w:name w:val="Нижний колонтитул Знак"/>
    <w:link w:val="778"/>
    <w:uiPriority w:val="99"/>
  </w:style>
  <w:style w:type="paragraph" w:styleId="780">
    <w:name w:val="Caption"/>
    <w:basedOn w:val="746"/>
    <w:next w:val="746"/>
    <w:link w:val="781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styleId="781" w:customStyle="1">
    <w:name w:val="Название объекта Знак"/>
    <w:link w:val="780"/>
    <w:uiPriority w:val="35"/>
    <w:rPr>
      <w:b/>
      <w:bCs/>
      <w:color w:val="5b9bd5" w:themeColor="accent1"/>
      <w:sz w:val="18"/>
      <w:szCs w:val="18"/>
    </w:rPr>
  </w:style>
  <w:style w:type="table" w:styleId="782">
    <w:name w:val="Table Grid"/>
    <w:basedOn w:val="757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83" w:customStyle="1">
    <w:name w:val="Table Grid Light"/>
    <w:basedOn w:val="75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84">
    <w:name w:val="Plain Table 1"/>
    <w:basedOn w:val="75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5">
    <w:name w:val="Plain Table 2"/>
    <w:basedOn w:val="75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6">
    <w:name w:val="Plain Table 3"/>
    <w:basedOn w:val="75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7">
    <w:name w:val="Plain Table 4"/>
    <w:basedOn w:val="75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Plain Table 5"/>
    <w:basedOn w:val="75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9">
    <w:name w:val="Grid Table 1 Light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Grid Table 1 Light - Accent 1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Grid Table 1 Light - Accent 2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Grid Table 1 Light - Accent 3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Grid Table 1 Light - Accent 4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Grid Table 1 Light - Accent 5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Grid Table 1 Light - Accent 6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Grid Table 2"/>
    <w:basedOn w:val="75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2 - Accent 1"/>
    <w:basedOn w:val="75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2 - Accent 2"/>
    <w:basedOn w:val="75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2 - Accent 3"/>
    <w:basedOn w:val="75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2 - Accent 4"/>
    <w:basedOn w:val="75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2 - Accent 5"/>
    <w:basedOn w:val="75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2 - Accent 6"/>
    <w:basedOn w:val="75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3"/>
    <w:basedOn w:val="75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3 - Accent 1"/>
    <w:basedOn w:val="75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3 - Accent 2"/>
    <w:basedOn w:val="75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3 - Accent 3"/>
    <w:basedOn w:val="75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3 - Accent 4"/>
    <w:basedOn w:val="75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3 - Accent 5"/>
    <w:basedOn w:val="75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3 - Accent 6"/>
    <w:basedOn w:val="75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4"/>
    <w:basedOn w:val="75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1" w:customStyle="1">
    <w:name w:val="Grid Table 4 - Accent 1"/>
    <w:basedOn w:val="757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12" w:customStyle="1">
    <w:name w:val="Grid Table 4 - Accent 2"/>
    <w:basedOn w:val="75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13" w:customStyle="1">
    <w:name w:val="Grid Table 4 - Accent 3"/>
    <w:basedOn w:val="75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14" w:customStyle="1">
    <w:name w:val="Grid Table 4 - Accent 4"/>
    <w:basedOn w:val="75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15" w:customStyle="1">
    <w:name w:val="Grid Table 4 - Accent 5"/>
    <w:basedOn w:val="75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16" w:customStyle="1">
    <w:name w:val="Grid Table 4 - Accent 6"/>
    <w:basedOn w:val="757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17">
    <w:name w:val="Grid Table 5 Dark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8" w:customStyle="1">
    <w:name w:val="Grid Table 5 Dark- Accent 1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19" w:customStyle="1">
    <w:name w:val="Grid Table 5 Dark - Accent 2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20" w:customStyle="1">
    <w:name w:val="Grid Table 5 Dark - Accent 3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21" w:customStyle="1">
    <w:name w:val="Grid Table 5 Dark- Accent 4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22" w:customStyle="1">
    <w:name w:val="Grid Table 5 Dark - Accent 5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23" w:customStyle="1">
    <w:name w:val="Grid Table 5 Dark - Accent 6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24">
    <w:name w:val="Grid Table 6 Colorful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5" w:customStyle="1">
    <w:name w:val="Grid Table 6 Colorful - Accent 1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26" w:customStyle="1">
    <w:name w:val="Grid Table 6 Colorful - Accent 2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27" w:customStyle="1">
    <w:name w:val="Grid Table 6 Colorful - Accent 3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28" w:customStyle="1">
    <w:name w:val="Grid Table 6 Colorful - Accent 4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29" w:customStyle="1">
    <w:name w:val="Grid Table 6 Colorful - Accent 5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30" w:customStyle="1">
    <w:name w:val="Grid Table 6 Colorful - Accent 6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31">
    <w:name w:val="Grid Table 7 Colorful"/>
    <w:basedOn w:val="75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7 Colorful - Accent 1"/>
    <w:basedOn w:val="75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7 Colorful - Accent 2"/>
    <w:basedOn w:val="75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7 Colorful - Accent 3"/>
    <w:basedOn w:val="75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7 Colorful - Accent 4"/>
    <w:basedOn w:val="75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7 Colorful - Accent 5"/>
    <w:basedOn w:val="75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Grid Table 7 Colorful - Accent 6"/>
    <w:basedOn w:val="75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List Table 1 Light"/>
    <w:basedOn w:val="75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1 Light - Accent 1"/>
    <w:basedOn w:val="75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1 Light - Accent 2"/>
    <w:basedOn w:val="75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1 Light - Accent 3"/>
    <w:basedOn w:val="75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1 Light - Accent 4"/>
    <w:basedOn w:val="75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1 Light - Accent 5"/>
    <w:basedOn w:val="75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1 Light - Accent 6"/>
    <w:basedOn w:val="75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List Table 2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6" w:customStyle="1">
    <w:name w:val="List Table 2 - Accent 1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47" w:customStyle="1">
    <w:name w:val="List Table 2 - Accent 2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48" w:customStyle="1">
    <w:name w:val="List Table 2 - Accent 3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49" w:customStyle="1">
    <w:name w:val="List Table 2 - Accent 4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50" w:customStyle="1">
    <w:name w:val="List Table 2 - Accent 5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51" w:customStyle="1">
    <w:name w:val="List Table 2 - Accent 6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52">
    <w:name w:val="List Table 3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3 - Accent 1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3 - Accent 2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3 - Accent 3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3 - Accent 4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3 - Accent 5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3 - Accent 6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4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4 - Accent 1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4 - Accent 2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4 - Accent 3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4 - Accent 4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4 - Accent 5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4 - Accent 6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5 Dark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7" w:customStyle="1">
    <w:name w:val="List Table 5 Dark - Accent 1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8" w:customStyle="1">
    <w:name w:val="List Table 5 Dark - Accent 2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9" w:customStyle="1">
    <w:name w:val="List Table 5 Dark - Accent 3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0" w:customStyle="1">
    <w:name w:val="List Table 5 Dark - Accent 4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1" w:customStyle="1">
    <w:name w:val="List Table 5 Dark - Accent 5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2" w:customStyle="1">
    <w:name w:val="List Table 5 Dark - Accent 6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3">
    <w:name w:val="List Table 6 Colorful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74" w:customStyle="1">
    <w:name w:val="List Table 6 Colorful - Accent 1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75" w:customStyle="1">
    <w:name w:val="List Table 6 Colorful - Accent 2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76" w:customStyle="1">
    <w:name w:val="List Table 6 Colorful - Accent 3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77" w:customStyle="1">
    <w:name w:val="List Table 6 Colorful - Accent 4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78" w:customStyle="1">
    <w:name w:val="List Table 6 Colorful - Accent 5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79" w:customStyle="1">
    <w:name w:val="List Table 6 Colorful - Accent 6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80">
    <w:name w:val="List Table 7 Colorful"/>
    <w:basedOn w:val="75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List Table 7 Colorful - Accent 1"/>
    <w:basedOn w:val="75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 w:customStyle="1">
    <w:name w:val="List Table 7 Colorful - Accent 2"/>
    <w:basedOn w:val="75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 w:customStyle="1">
    <w:name w:val="List Table 7 Colorful - Accent 3"/>
    <w:basedOn w:val="75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 w:customStyle="1">
    <w:name w:val="List Table 7 Colorful - Accent 4"/>
    <w:basedOn w:val="75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 w:customStyle="1">
    <w:name w:val="List Table 7 Colorful - Accent 5"/>
    <w:basedOn w:val="75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 w:customStyle="1">
    <w:name w:val="List Table 7 Colorful - Accent 6"/>
    <w:basedOn w:val="75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 w:customStyle="1">
    <w:name w:val="Lined - Accent"/>
    <w:basedOn w:val="75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8" w:customStyle="1">
    <w:name w:val="Lined - Accent 1"/>
    <w:basedOn w:val="75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89" w:customStyle="1">
    <w:name w:val="Lined - Accent 2"/>
    <w:basedOn w:val="75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90" w:customStyle="1">
    <w:name w:val="Lined - Accent 3"/>
    <w:basedOn w:val="75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91" w:customStyle="1">
    <w:name w:val="Lined - Accent 4"/>
    <w:basedOn w:val="75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92" w:customStyle="1">
    <w:name w:val="Lined - Accent 5"/>
    <w:basedOn w:val="75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93" w:customStyle="1">
    <w:name w:val="Lined - Accent 6"/>
    <w:basedOn w:val="75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94" w:customStyle="1">
    <w:name w:val="Bordered &amp; Lined - Accent"/>
    <w:basedOn w:val="75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5" w:customStyle="1">
    <w:name w:val="Bordered &amp; Lined - Accent 1"/>
    <w:basedOn w:val="75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96" w:customStyle="1">
    <w:name w:val="Bordered &amp; Lined - Accent 2"/>
    <w:basedOn w:val="75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97" w:customStyle="1">
    <w:name w:val="Bordered &amp; Lined - Accent 3"/>
    <w:basedOn w:val="75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98" w:customStyle="1">
    <w:name w:val="Bordered &amp; Lined - Accent 4"/>
    <w:basedOn w:val="75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99" w:customStyle="1">
    <w:name w:val="Bordered &amp; Lined - Accent 5"/>
    <w:basedOn w:val="75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00" w:customStyle="1">
    <w:name w:val="Bordered &amp; Lined - Accent 6"/>
    <w:basedOn w:val="75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01" w:customStyle="1">
    <w:name w:val="Bordered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2" w:customStyle="1">
    <w:name w:val="Bordered - Accent 1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903" w:customStyle="1">
    <w:name w:val="Bordered - Accent 2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904" w:customStyle="1">
    <w:name w:val="Bordered - Accent 3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905" w:customStyle="1">
    <w:name w:val="Bordered - Accent 4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06" w:customStyle="1">
    <w:name w:val="Bordered - Accent 5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907" w:customStyle="1">
    <w:name w:val="Bordered - Accent 6"/>
    <w:basedOn w:val="75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908">
    <w:name w:val="Hyperlink"/>
    <w:uiPriority w:val="99"/>
    <w:unhideWhenUsed/>
    <w:rPr>
      <w:color w:val="0563c1" w:themeColor="hyperlink"/>
      <w:u w:val="single"/>
    </w:rPr>
  </w:style>
  <w:style w:type="paragraph" w:styleId="909">
    <w:name w:val="footnote text"/>
    <w:basedOn w:val="746"/>
    <w:link w:val="910"/>
    <w:uiPriority w:val="99"/>
    <w:semiHidden/>
    <w:unhideWhenUsed/>
    <w:pPr>
      <w:spacing w:after="40" w:line="240" w:lineRule="auto"/>
    </w:pPr>
    <w:rPr>
      <w:sz w:val="18"/>
    </w:rPr>
  </w:style>
  <w:style w:type="character" w:styleId="910" w:customStyle="1">
    <w:name w:val="Текст сноски Знак"/>
    <w:link w:val="909"/>
    <w:uiPriority w:val="99"/>
    <w:rPr>
      <w:sz w:val="18"/>
    </w:rPr>
  </w:style>
  <w:style w:type="character" w:styleId="911">
    <w:name w:val="footnote reference"/>
    <w:uiPriority w:val="99"/>
    <w:unhideWhenUsed/>
    <w:rPr>
      <w:vertAlign w:val="superscript"/>
    </w:rPr>
  </w:style>
  <w:style w:type="paragraph" w:styleId="912">
    <w:name w:val="endnote text"/>
    <w:basedOn w:val="746"/>
    <w:link w:val="913"/>
    <w:uiPriority w:val="99"/>
    <w:semiHidden/>
    <w:unhideWhenUsed/>
    <w:pPr>
      <w:spacing w:after="0" w:line="240" w:lineRule="auto"/>
    </w:pPr>
    <w:rPr>
      <w:sz w:val="20"/>
    </w:rPr>
  </w:style>
  <w:style w:type="character" w:styleId="913" w:customStyle="1">
    <w:name w:val="Текст концевой сноски Знак"/>
    <w:link w:val="912"/>
    <w:uiPriority w:val="99"/>
    <w:rPr>
      <w:sz w:val="20"/>
    </w:rPr>
  </w:style>
  <w:style w:type="character" w:styleId="914">
    <w:name w:val="endnote reference"/>
    <w:uiPriority w:val="99"/>
    <w:semiHidden/>
    <w:unhideWhenUsed/>
    <w:rPr>
      <w:vertAlign w:val="superscript"/>
    </w:rPr>
  </w:style>
  <w:style w:type="paragraph" w:styleId="915">
    <w:name w:val="toc 1"/>
    <w:basedOn w:val="746"/>
    <w:next w:val="746"/>
    <w:uiPriority w:val="39"/>
    <w:unhideWhenUsed/>
    <w:pPr>
      <w:spacing w:after="57"/>
    </w:pPr>
  </w:style>
  <w:style w:type="paragraph" w:styleId="916">
    <w:name w:val="toc 2"/>
    <w:basedOn w:val="746"/>
    <w:next w:val="746"/>
    <w:uiPriority w:val="39"/>
    <w:unhideWhenUsed/>
    <w:pPr>
      <w:ind w:left="283"/>
      <w:spacing w:after="57"/>
    </w:pPr>
  </w:style>
  <w:style w:type="paragraph" w:styleId="917">
    <w:name w:val="toc 3"/>
    <w:basedOn w:val="746"/>
    <w:next w:val="746"/>
    <w:uiPriority w:val="39"/>
    <w:unhideWhenUsed/>
    <w:pPr>
      <w:ind w:left="567"/>
      <w:spacing w:after="57"/>
    </w:pPr>
  </w:style>
  <w:style w:type="paragraph" w:styleId="918">
    <w:name w:val="toc 4"/>
    <w:basedOn w:val="746"/>
    <w:next w:val="746"/>
    <w:uiPriority w:val="39"/>
    <w:unhideWhenUsed/>
    <w:pPr>
      <w:ind w:left="850"/>
      <w:spacing w:after="57"/>
    </w:pPr>
  </w:style>
  <w:style w:type="paragraph" w:styleId="919">
    <w:name w:val="toc 5"/>
    <w:basedOn w:val="746"/>
    <w:next w:val="746"/>
    <w:uiPriority w:val="39"/>
    <w:unhideWhenUsed/>
    <w:pPr>
      <w:ind w:left="1134"/>
      <w:spacing w:after="57"/>
    </w:pPr>
  </w:style>
  <w:style w:type="paragraph" w:styleId="920">
    <w:name w:val="toc 6"/>
    <w:basedOn w:val="746"/>
    <w:next w:val="746"/>
    <w:uiPriority w:val="39"/>
    <w:unhideWhenUsed/>
    <w:pPr>
      <w:ind w:left="1417"/>
      <w:spacing w:after="57"/>
    </w:pPr>
  </w:style>
  <w:style w:type="paragraph" w:styleId="921">
    <w:name w:val="toc 7"/>
    <w:basedOn w:val="746"/>
    <w:next w:val="746"/>
    <w:uiPriority w:val="39"/>
    <w:unhideWhenUsed/>
    <w:pPr>
      <w:ind w:left="1701"/>
      <w:spacing w:after="57"/>
    </w:pPr>
  </w:style>
  <w:style w:type="paragraph" w:styleId="922">
    <w:name w:val="toc 8"/>
    <w:basedOn w:val="746"/>
    <w:next w:val="746"/>
    <w:uiPriority w:val="39"/>
    <w:unhideWhenUsed/>
    <w:pPr>
      <w:ind w:left="1984"/>
      <w:spacing w:after="57"/>
    </w:pPr>
  </w:style>
  <w:style w:type="paragraph" w:styleId="923">
    <w:name w:val="toc 9"/>
    <w:basedOn w:val="746"/>
    <w:next w:val="746"/>
    <w:uiPriority w:val="39"/>
    <w:unhideWhenUsed/>
    <w:pPr>
      <w:ind w:left="2268"/>
      <w:spacing w:after="57"/>
    </w:pPr>
  </w:style>
  <w:style w:type="paragraph" w:styleId="924">
    <w:name w:val="TOC Heading"/>
    <w:uiPriority w:val="39"/>
    <w:unhideWhenUsed/>
  </w:style>
  <w:style w:type="paragraph" w:styleId="925">
    <w:name w:val="table of figures"/>
    <w:basedOn w:val="746"/>
    <w:next w:val="746"/>
    <w:uiPriority w:val="99"/>
    <w:unhideWhenUsed/>
    <w:pPr>
      <w:spacing w:after="0"/>
    </w:pPr>
  </w:style>
  <w:style w:type="paragraph" w:styleId="926">
    <w:name w:val="No Spacing"/>
    <w:basedOn w:val="746"/>
    <w:uiPriority w:val="1"/>
    <w:qFormat/>
    <w:pPr>
      <w:spacing w:after="0" w:line="240" w:lineRule="auto"/>
    </w:pPr>
  </w:style>
  <w:style w:type="paragraph" w:styleId="927">
    <w:name w:val="List Paragraph"/>
    <w:basedOn w:val="746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hyperlink" Target="https://regulation.gov.ru/projects/167083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vorogushina</cp:lastModifiedBy>
  <cp:revision>23</cp:revision>
  <dcterms:created xsi:type="dcterms:W3CDTF">2026-05-18T02:27:00Z</dcterms:created>
  <dcterms:modified xsi:type="dcterms:W3CDTF">2026-05-18T11:18:12Z</dcterms:modified>
</cp:coreProperties>
</file>